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7FE7E" w14:textId="77777777" w:rsidR="002C55B0" w:rsidRDefault="002C55B0" w:rsidP="006D52BE">
      <w:pPr>
        <w:contextualSpacing/>
      </w:pPr>
      <w:r>
        <w:rPr>
          <w:noProof/>
        </w:rPr>
        <w:drawing>
          <wp:inline distT="0" distB="0" distL="0" distR="0" wp14:anchorId="670EF2DC" wp14:editId="4387E220">
            <wp:extent cx="5486400" cy="577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U_wordMark_2Color.pdf"/>
                    <pic:cNvPicPr/>
                  </pic:nvPicPr>
                  <pic:blipFill>
                    <a:blip r:embed="rId8">
                      <a:extLst>
                        <a:ext uri="{28A0092B-C50C-407E-A947-70E740481C1C}">
                          <a14:useLocalDpi xmlns:a14="http://schemas.microsoft.com/office/drawing/2010/main" val="0"/>
                        </a:ext>
                      </a:extLst>
                    </a:blip>
                    <a:stretch>
                      <a:fillRect/>
                    </a:stretch>
                  </pic:blipFill>
                  <pic:spPr>
                    <a:xfrm>
                      <a:off x="0" y="0"/>
                      <a:ext cx="5486400" cy="577215"/>
                    </a:xfrm>
                    <a:prstGeom prst="rect">
                      <a:avLst/>
                    </a:prstGeom>
                  </pic:spPr>
                </pic:pic>
              </a:graphicData>
            </a:graphic>
          </wp:inline>
        </w:drawing>
      </w:r>
    </w:p>
    <w:p w14:paraId="101B25BB" w14:textId="77777777" w:rsidR="002C55B0" w:rsidRDefault="002C55B0" w:rsidP="00804233">
      <w:pPr>
        <w:ind w:firstLine="720"/>
        <w:contextualSpacing/>
      </w:pPr>
    </w:p>
    <w:p w14:paraId="7C83375E" w14:textId="77A78F98" w:rsidR="00942C72" w:rsidRPr="00D54450" w:rsidRDefault="002C55B0" w:rsidP="006D52BE">
      <w:pPr>
        <w:contextualSpacing/>
        <w:rPr>
          <w:rFonts w:ascii="Cambria" w:hAnsi="Cambria"/>
        </w:rPr>
      </w:pPr>
      <w:r w:rsidRPr="00D54450">
        <w:rPr>
          <w:rFonts w:ascii="Cambria" w:hAnsi="Cambria"/>
        </w:rPr>
        <w:t>Preliminary outline for strategic planning process</w:t>
      </w:r>
      <w:r w:rsidR="00FD4FD5">
        <w:rPr>
          <w:rFonts w:ascii="Cambria" w:hAnsi="Cambria"/>
        </w:rPr>
        <w:t>:  Launching the second century</w:t>
      </w:r>
      <w:r w:rsidR="007F4AF6">
        <w:rPr>
          <w:rFonts w:ascii="Cambria" w:hAnsi="Cambria"/>
        </w:rPr>
        <w:t>.</w:t>
      </w:r>
    </w:p>
    <w:p w14:paraId="260CED7A" w14:textId="77777777" w:rsidR="002C55B0" w:rsidRPr="00D54450" w:rsidRDefault="002C55B0" w:rsidP="006D52BE">
      <w:pPr>
        <w:contextualSpacing/>
        <w:rPr>
          <w:rFonts w:ascii="Cambria" w:hAnsi="Cambria"/>
        </w:rPr>
      </w:pPr>
    </w:p>
    <w:p w14:paraId="0E3F7323" w14:textId="77777777" w:rsidR="00E25FCC" w:rsidRPr="00FD4FD5" w:rsidRDefault="002C55B0" w:rsidP="006D52BE">
      <w:pPr>
        <w:widowControl w:val="0"/>
        <w:autoSpaceDE w:val="0"/>
        <w:autoSpaceDN w:val="0"/>
        <w:adjustRightInd w:val="0"/>
        <w:spacing w:after="240"/>
        <w:contextualSpacing/>
        <w:rPr>
          <w:rFonts w:ascii="Cambria" w:hAnsi="Cambria"/>
          <w:b/>
          <w:i/>
        </w:rPr>
      </w:pPr>
      <w:r w:rsidRPr="00FD4FD5">
        <w:rPr>
          <w:rFonts w:ascii="Cambria" w:hAnsi="Cambria"/>
          <w:b/>
          <w:i/>
        </w:rPr>
        <w:t xml:space="preserve">Goal:  </w:t>
      </w:r>
    </w:p>
    <w:p w14:paraId="58FF2A99" w14:textId="3330B0E0" w:rsidR="002C55B0" w:rsidRDefault="002C55B0" w:rsidP="00E25FCC">
      <w:pPr>
        <w:widowControl w:val="0"/>
        <w:autoSpaceDE w:val="0"/>
        <w:autoSpaceDN w:val="0"/>
        <w:adjustRightInd w:val="0"/>
        <w:spacing w:after="240"/>
        <w:ind w:firstLine="720"/>
        <w:contextualSpacing/>
        <w:rPr>
          <w:rFonts w:ascii="Cambria" w:hAnsi="Cambria" w:cs="Times New Roman"/>
          <w:color w:val="060606"/>
        </w:rPr>
      </w:pPr>
      <w:r w:rsidRPr="00D54450">
        <w:rPr>
          <w:rFonts w:ascii="Cambria" w:hAnsi="Cambria"/>
        </w:rPr>
        <w:t xml:space="preserve">To develop a strategic plan for Humboldt State University that includes broad involvement and that results in a dynamic plan that can be effectively used to guide other </w:t>
      </w:r>
      <w:r w:rsidR="00E25FCC">
        <w:rPr>
          <w:rFonts w:ascii="Cambria" w:hAnsi="Cambria"/>
        </w:rPr>
        <w:t xml:space="preserve">planning efforts.  A successful process </w:t>
      </w:r>
      <w:r w:rsidRPr="00D54450">
        <w:rPr>
          <w:rFonts w:ascii="Cambria" w:hAnsi="Cambria" w:cs="Times New Roman"/>
          <w:color w:val="060606"/>
        </w:rPr>
        <w:t>will result in a shared understanding of where the University is headed</w:t>
      </w:r>
      <w:r w:rsidR="00E25FCC">
        <w:rPr>
          <w:rFonts w:ascii="Cambria" w:hAnsi="Cambria" w:cs="Times New Roman"/>
          <w:color w:val="060606"/>
        </w:rPr>
        <w:t>,</w:t>
      </w:r>
      <w:r w:rsidRPr="00D54450">
        <w:rPr>
          <w:rFonts w:ascii="Cambria" w:hAnsi="Cambria" w:cs="Times New Roman"/>
          <w:color w:val="060606"/>
        </w:rPr>
        <w:t xml:space="preserve"> and </w:t>
      </w:r>
      <w:r w:rsidR="00E25FCC">
        <w:rPr>
          <w:rFonts w:ascii="Cambria" w:hAnsi="Cambria" w:cs="Times New Roman"/>
          <w:color w:val="060606"/>
        </w:rPr>
        <w:t>the result</w:t>
      </w:r>
      <w:r w:rsidRPr="00D54450">
        <w:rPr>
          <w:rFonts w:ascii="Cambria" w:hAnsi="Cambria" w:cs="Times New Roman"/>
          <w:color w:val="060606"/>
        </w:rPr>
        <w:t xml:space="preserve"> will drive subsequent planning for enrollment, budget, facilities, academics, athletics, housing, student life, and other aspects of the institution. </w:t>
      </w:r>
    </w:p>
    <w:p w14:paraId="09D0CAAA" w14:textId="77777777" w:rsidR="00E25FCC" w:rsidRPr="00D54450" w:rsidRDefault="00E25FCC" w:rsidP="006D52BE">
      <w:pPr>
        <w:widowControl w:val="0"/>
        <w:autoSpaceDE w:val="0"/>
        <w:autoSpaceDN w:val="0"/>
        <w:adjustRightInd w:val="0"/>
        <w:spacing w:after="240"/>
        <w:contextualSpacing/>
        <w:rPr>
          <w:rFonts w:ascii="Cambria" w:hAnsi="Cambria" w:cs="Times New Roman"/>
          <w:color w:val="060606"/>
        </w:rPr>
      </w:pPr>
    </w:p>
    <w:p w14:paraId="50122226" w14:textId="77777777" w:rsidR="002C55B0" w:rsidRDefault="002C55B0" w:rsidP="006D52BE">
      <w:pPr>
        <w:widowControl w:val="0"/>
        <w:autoSpaceDE w:val="0"/>
        <w:autoSpaceDN w:val="0"/>
        <w:adjustRightInd w:val="0"/>
        <w:spacing w:after="240"/>
        <w:contextualSpacing/>
        <w:rPr>
          <w:rFonts w:ascii="Cambria" w:hAnsi="Cambria" w:cs="Times New Roman"/>
          <w:b/>
          <w:i/>
          <w:color w:val="060606"/>
        </w:rPr>
      </w:pPr>
      <w:r w:rsidRPr="00FD4FD5">
        <w:rPr>
          <w:rFonts w:ascii="Cambria" w:hAnsi="Cambria" w:cs="Times New Roman"/>
          <w:b/>
          <w:i/>
          <w:color w:val="060606"/>
        </w:rPr>
        <w:t xml:space="preserve">What success looks </w:t>
      </w:r>
      <w:proofErr w:type="gramStart"/>
      <w:r w:rsidRPr="00FD4FD5">
        <w:rPr>
          <w:rFonts w:ascii="Cambria" w:hAnsi="Cambria" w:cs="Times New Roman"/>
          <w:b/>
          <w:i/>
          <w:color w:val="060606"/>
        </w:rPr>
        <w:t>like:</w:t>
      </w:r>
      <w:proofErr w:type="gramEnd"/>
      <w:r w:rsidRPr="00FD4FD5">
        <w:rPr>
          <w:rFonts w:ascii="Cambria" w:hAnsi="Cambria" w:cs="Times New Roman"/>
          <w:b/>
          <w:i/>
          <w:color w:val="060606"/>
        </w:rPr>
        <w:t xml:space="preserve">  </w:t>
      </w:r>
    </w:p>
    <w:p w14:paraId="03FA9C4E" w14:textId="77777777" w:rsidR="008E2DBA" w:rsidRPr="00FD4FD5" w:rsidRDefault="008E2DBA" w:rsidP="006D52BE">
      <w:pPr>
        <w:widowControl w:val="0"/>
        <w:autoSpaceDE w:val="0"/>
        <w:autoSpaceDN w:val="0"/>
        <w:adjustRightInd w:val="0"/>
        <w:spacing w:after="240"/>
        <w:contextualSpacing/>
        <w:rPr>
          <w:rFonts w:ascii="Cambria" w:hAnsi="Cambria" w:cs="Times New Roman"/>
          <w:b/>
          <w:i/>
          <w:color w:val="060606"/>
        </w:rPr>
      </w:pPr>
    </w:p>
    <w:p w14:paraId="62B4DB3A" w14:textId="335991E9" w:rsidR="002C55B0" w:rsidRPr="00D54450" w:rsidRDefault="002C55B0" w:rsidP="00E25FCC">
      <w:pPr>
        <w:widowControl w:val="0"/>
        <w:autoSpaceDE w:val="0"/>
        <w:autoSpaceDN w:val="0"/>
        <w:adjustRightInd w:val="0"/>
        <w:spacing w:after="240"/>
        <w:ind w:firstLine="720"/>
        <w:contextualSpacing/>
        <w:rPr>
          <w:rFonts w:ascii="Cambria" w:hAnsi="Cambria" w:cs="Times New Roman"/>
          <w:color w:val="060606"/>
        </w:rPr>
      </w:pPr>
      <w:r w:rsidRPr="00D54450">
        <w:rPr>
          <w:rFonts w:ascii="Cambria" w:hAnsi="Cambria" w:cs="Times New Roman"/>
          <w:color w:val="060606"/>
        </w:rPr>
        <w:t>Success will be having a completed strategic plan by the end of the academic year that is succinct, widely supported, and useful to the University community</w:t>
      </w:r>
      <w:r w:rsidR="00E25FCC">
        <w:rPr>
          <w:rFonts w:ascii="Cambria" w:hAnsi="Cambria" w:cs="Times New Roman"/>
          <w:color w:val="060606"/>
        </w:rPr>
        <w:t xml:space="preserve"> in making decisions about budget, facilities, and other aspects of the institution’s future</w:t>
      </w:r>
      <w:r w:rsidRPr="00D54450">
        <w:rPr>
          <w:rFonts w:ascii="Cambria" w:hAnsi="Cambria" w:cs="Times New Roman"/>
          <w:color w:val="060606"/>
        </w:rPr>
        <w:t xml:space="preserve">. </w:t>
      </w:r>
    </w:p>
    <w:p w14:paraId="431966C3" w14:textId="77777777" w:rsidR="008078EF" w:rsidRDefault="008078EF" w:rsidP="006D52BE">
      <w:pPr>
        <w:widowControl w:val="0"/>
        <w:autoSpaceDE w:val="0"/>
        <w:autoSpaceDN w:val="0"/>
        <w:adjustRightInd w:val="0"/>
        <w:spacing w:after="240"/>
        <w:contextualSpacing/>
        <w:rPr>
          <w:rFonts w:ascii="Cambria" w:hAnsi="Cambria" w:cs="Times New Roman"/>
          <w:color w:val="060606"/>
        </w:rPr>
      </w:pPr>
    </w:p>
    <w:p w14:paraId="40882FE4" w14:textId="77777777" w:rsidR="008078EF" w:rsidRDefault="008078EF" w:rsidP="008078EF">
      <w:pPr>
        <w:widowControl w:val="0"/>
        <w:autoSpaceDE w:val="0"/>
        <w:autoSpaceDN w:val="0"/>
        <w:adjustRightInd w:val="0"/>
        <w:spacing w:after="240"/>
        <w:contextualSpacing/>
        <w:rPr>
          <w:rFonts w:ascii="Cambria" w:hAnsi="Cambria" w:cs="Times New Roman"/>
          <w:b/>
          <w:i/>
          <w:color w:val="060606"/>
        </w:rPr>
      </w:pPr>
      <w:r w:rsidRPr="00FD4FD5">
        <w:rPr>
          <w:rFonts w:ascii="Cambria" w:hAnsi="Cambria" w:cs="Times New Roman"/>
          <w:b/>
          <w:i/>
          <w:color w:val="060606"/>
        </w:rPr>
        <w:t>Context:</w:t>
      </w:r>
    </w:p>
    <w:p w14:paraId="404B168E" w14:textId="77777777" w:rsidR="008E2DBA" w:rsidRPr="00FD4FD5" w:rsidRDefault="008E2DBA" w:rsidP="008078EF">
      <w:pPr>
        <w:widowControl w:val="0"/>
        <w:autoSpaceDE w:val="0"/>
        <w:autoSpaceDN w:val="0"/>
        <w:adjustRightInd w:val="0"/>
        <w:spacing w:after="240"/>
        <w:contextualSpacing/>
        <w:rPr>
          <w:rFonts w:ascii="Cambria" w:hAnsi="Cambria" w:cs="Times New Roman"/>
          <w:b/>
          <w:i/>
          <w:color w:val="060606"/>
        </w:rPr>
      </w:pPr>
    </w:p>
    <w:p w14:paraId="3A7EA34C" w14:textId="77777777" w:rsidR="008078EF" w:rsidRPr="00D54450" w:rsidRDefault="008078EF" w:rsidP="00FD4FD5">
      <w:pPr>
        <w:widowControl w:val="0"/>
        <w:autoSpaceDE w:val="0"/>
        <w:autoSpaceDN w:val="0"/>
        <w:adjustRightInd w:val="0"/>
        <w:spacing w:after="240"/>
        <w:ind w:firstLine="720"/>
        <w:contextualSpacing/>
        <w:rPr>
          <w:rFonts w:ascii="Cambria" w:hAnsi="Cambria" w:cs="Times New Roman"/>
          <w:color w:val="060606"/>
        </w:rPr>
      </w:pPr>
      <w:r w:rsidRPr="00D54450">
        <w:rPr>
          <w:rFonts w:ascii="Cambria" w:hAnsi="Cambria" w:cs="Times New Roman"/>
          <w:color w:val="060606"/>
        </w:rPr>
        <w:t>The context for the plan will be within the framework of the University’s mission and vision statements and the values that are shared by the University community.</w:t>
      </w:r>
    </w:p>
    <w:p w14:paraId="274B6829" w14:textId="77777777" w:rsidR="008078EF" w:rsidRDefault="008078EF" w:rsidP="008078EF">
      <w:pPr>
        <w:widowControl w:val="0"/>
        <w:autoSpaceDE w:val="0"/>
        <w:autoSpaceDN w:val="0"/>
        <w:adjustRightInd w:val="0"/>
        <w:spacing w:after="240"/>
        <w:contextualSpacing/>
        <w:rPr>
          <w:rFonts w:ascii="Cambria" w:hAnsi="Cambria" w:cs="Times New Roman"/>
          <w:color w:val="060606"/>
        </w:rPr>
      </w:pPr>
    </w:p>
    <w:p w14:paraId="5ADE2A9C" w14:textId="7DC71F12" w:rsidR="002C6034" w:rsidRDefault="008078EF" w:rsidP="008078EF">
      <w:pPr>
        <w:widowControl w:val="0"/>
        <w:autoSpaceDE w:val="0"/>
        <w:autoSpaceDN w:val="0"/>
        <w:adjustRightInd w:val="0"/>
        <w:spacing w:after="240"/>
        <w:contextualSpacing/>
        <w:rPr>
          <w:rFonts w:ascii="Cambria" w:hAnsi="Cambria" w:cs="Verdana"/>
          <w:bCs/>
        </w:rPr>
      </w:pPr>
      <w:r>
        <w:rPr>
          <w:rFonts w:ascii="Cambria" w:hAnsi="Cambria" w:cs="Times New Roman"/>
        </w:rPr>
        <w:t>The p</w:t>
      </w:r>
      <w:r w:rsidRPr="008078EF">
        <w:rPr>
          <w:rFonts w:ascii="Cambria" w:hAnsi="Cambria" w:cs="Times New Roman"/>
        </w:rPr>
        <w:t xml:space="preserve">lan must also align with the California State University System’s strategic plan, which was developed in 2008 and reiterated in the </w:t>
      </w:r>
      <w:r w:rsidRPr="008078EF">
        <w:rPr>
          <w:rFonts w:ascii="Cambria" w:hAnsi="Cambria" w:cs="Verdana"/>
          <w:bCs/>
          <w:i/>
          <w:iCs/>
        </w:rPr>
        <w:t>Access to Excellence</w:t>
      </w:r>
      <w:r w:rsidRPr="008078EF">
        <w:rPr>
          <w:rFonts w:ascii="Cambria" w:hAnsi="Cambria" w:cs="Verdana"/>
          <w:bCs/>
        </w:rPr>
        <w:t xml:space="preserve"> Progress Report that was presented to the CSU Board of Trustees in May 2014.  </w:t>
      </w:r>
      <w:hyperlink r:id="rId9" w:history="1">
        <w:r w:rsidR="00EF09DF" w:rsidRPr="00BD1242">
          <w:rPr>
            <w:rStyle w:val="Hyperlink"/>
            <w:rFonts w:ascii="Cambria" w:hAnsi="Cambria" w:cs="Verdana"/>
            <w:bCs/>
          </w:rPr>
          <w:t>http://www.c</w:t>
        </w:r>
        <w:r w:rsidR="00EF09DF" w:rsidRPr="00BD1242">
          <w:rPr>
            <w:rStyle w:val="Hyperlink"/>
            <w:rFonts w:ascii="Cambria" w:hAnsi="Cambria" w:cs="Verdana"/>
            <w:bCs/>
          </w:rPr>
          <w:t>a</w:t>
        </w:r>
        <w:r w:rsidR="00EF09DF" w:rsidRPr="00BD1242">
          <w:rPr>
            <w:rStyle w:val="Hyperlink"/>
            <w:rFonts w:ascii="Cambria" w:hAnsi="Cambria" w:cs="Verdana"/>
            <w:bCs/>
          </w:rPr>
          <w:t>lstate.edu/accesstoexcellence/executive-summary-2011-2013.shtml</w:t>
        </w:r>
      </w:hyperlink>
    </w:p>
    <w:p w14:paraId="4282CA93" w14:textId="77777777" w:rsidR="00BE359B" w:rsidRDefault="00BE359B" w:rsidP="008078EF">
      <w:pPr>
        <w:widowControl w:val="0"/>
        <w:autoSpaceDE w:val="0"/>
        <w:autoSpaceDN w:val="0"/>
        <w:adjustRightInd w:val="0"/>
        <w:spacing w:after="240"/>
        <w:contextualSpacing/>
        <w:rPr>
          <w:rFonts w:ascii="Cambria" w:hAnsi="Cambria" w:cs="Verdana"/>
          <w:bCs/>
        </w:rPr>
      </w:pPr>
    </w:p>
    <w:p w14:paraId="12E7C6A9" w14:textId="18159AC9" w:rsidR="008078EF" w:rsidRPr="008078EF" w:rsidRDefault="008078EF" w:rsidP="008078EF">
      <w:pPr>
        <w:widowControl w:val="0"/>
        <w:autoSpaceDE w:val="0"/>
        <w:autoSpaceDN w:val="0"/>
        <w:adjustRightInd w:val="0"/>
        <w:spacing w:after="240"/>
        <w:contextualSpacing/>
        <w:rPr>
          <w:rFonts w:ascii="Cambria" w:hAnsi="Cambria" w:cs="Times New Roman"/>
        </w:rPr>
      </w:pPr>
      <w:r w:rsidRPr="008078EF">
        <w:rPr>
          <w:rFonts w:ascii="Cambria" w:hAnsi="Cambria" w:cs="Verdana"/>
          <w:bCs/>
        </w:rPr>
        <w:t xml:space="preserve">The original plan identified </w:t>
      </w:r>
      <w:r w:rsidRPr="008078EF">
        <w:rPr>
          <w:rFonts w:ascii="Cambria" w:hAnsi="Cambria" w:cs="Times New Roman"/>
        </w:rPr>
        <w:t>the following primary goals:</w:t>
      </w:r>
    </w:p>
    <w:p w14:paraId="60BD0C19" w14:textId="77777777" w:rsidR="008078EF" w:rsidRPr="008078EF" w:rsidRDefault="008078EF" w:rsidP="008078EF">
      <w:pPr>
        <w:pStyle w:val="ListParagraph"/>
        <w:widowControl w:val="0"/>
        <w:numPr>
          <w:ilvl w:val="0"/>
          <w:numId w:val="3"/>
        </w:numPr>
        <w:tabs>
          <w:tab w:val="left" w:pos="220"/>
          <w:tab w:val="left" w:pos="720"/>
        </w:tabs>
        <w:autoSpaceDE w:val="0"/>
        <w:autoSpaceDN w:val="0"/>
        <w:adjustRightInd w:val="0"/>
        <w:rPr>
          <w:rFonts w:ascii="Cambria" w:hAnsi="Cambria" w:cs="Verdana"/>
        </w:rPr>
      </w:pPr>
      <w:r w:rsidRPr="008078EF">
        <w:rPr>
          <w:rFonts w:ascii="Cambria" w:hAnsi="Cambria" w:cs="Verdana"/>
        </w:rPr>
        <w:t>Increase student access and success;</w:t>
      </w:r>
    </w:p>
    <w:p w14:paraId="4F85F898" w14:textId="77777777" w:rsidR="008078EF" w:rsidRPr="008078EF" w:rsidRDefault="008078EF" w:rsidP="008078EF">
      <w:pPr>
        <w:pStyle w:val="ListParagraph"/>
        <w:widowControl w:val="0"/>
        <w:numPr>
          <w:ilvl w:val="0"/>
          <w:numId w:val="3"/>
        </w:numPr>
        <w:tabs>
          <w:tab w:val="left" w:pos="220"/>
          <w:tab w:val="left" w:pos="720"/>
        </w:tabs>
        <w:autoSpaceDE w:val="0"/>
        <w:autoSpaceDN w:val="0"/>
        <w:adjustRightInd w:val="0"/>
        <w:rPr>
          <w:rFonts w:cs="Verdana"/>
        </w:rPr>
      </w:pPr>
      <w:r w:rsidRPr="008078EF">
        <w:rPr>
          <w:rFonts w:cs="Verdana"/>
        </w:rPr>
        <w:t>Meet state needs for economic and civic development, through continued investment in applied research and addressing workforce and other societal needs; and</w:t>
      </w:r>
    </w:p>
    <w:p w14:paraId="40A3AC27" w14:textId="1D53C894" w:rsidR="00804233" w:rsidRPr="00804233" w:rsidRDefault="008078EF" w:rsidP="00BB7204">
      <w:pPr>
        <w:pStyle w:val="ListParagraph"/>
        <w:widowControl w:val="0"/>
        <w:numPr>
          <w:ilvl w:val="0"/>
          <w:numId w:val="3"/>
        </w:numPr>
        <w:autoSpaceDE w:val="0"/>
        <w:autoSpaceDN w:val="0"/>
        <w:adjustRightInd w:val="0"/>
        <w:spacing w:after="240"/>
        <w:rPr>
          <w:rFonts w:ascii="Cambria" w:hAnsi="Cambria" w:cs="Times New Roman"/>
          <w:b/>
          <w:i/>
          <w:color w:val="060606"/>
        </w:rPr>
      </w:pPr>
      <w:r w:rsidRPr="00804233">
        <w:rPr>
          <w:rFonts w:cs="Verdana"/>
        </w:rPr>
        <w:t>Sustain institutional excellence through investments in faculty and staff, innovation in teaching, and increased involvement of undergraduates in research and in their communities.</w:t>
      </w:r>
    </w:p>
    <w:p w14:paraId="6A857073" w14:textId="7C86947B" w:rsidR="002C55B0" w:rsidRPr="00FD4FD5" w:rsidRDefault="002C55B0" w:rsidP="006D52BE">
      <w:pPr>
        <w:widowControl w:val="0"/>
        <w:autoSpaceDE w:val="0"/>
        <w:autoSpaceDN w:val="0"/>
        <w:adjustRightInd w:val="0"/>
        <w:spacing w:after="240"/>
        <w:contextualSpacing/>
        <w:rPr>
          <w:rFonts w:ascii="Cambria" w:hAnsi="Cambria" w:cs="Times New Roman"/>
          <w:b/>
          <w:i/>
          <w:color w:val="060606"/>
        </w:rPr>
      </w:pPr>
      <w:r w:rsidRPr="00FD4FD5">
        <w:rPr>
          <w:rFonts w:ascii="Cambria" w:hAnsi="Cambria" w:cs="Times New Roman"/>
          <w:b/>
          <w:i/>
          <w:color w:val="060606"/>
        </w:rPr>
        <w:t xml:space="preserve">Expectations for the </w:t>
      </w:r>
      <w:r w:rsidR="00FD4FD5" w:rsidRPr="00FD4FD5">
        <w:rPr>
          <w:rFonts w:ascii="Cambria" w:hAnsi="Cambria" w:cs="Times New Roman"/>
          <w:b/>
          <w:i/>
          <w:color w:val="060606"/>
        </w:rPr>
        <w:t>result</w:t>
      </w:r>
      <w:r w:rsidRPr="00FD4FD5">
        <w:rPr>
          <w:rFonts w:ascii="Cambria" w:hAnsi="Cambria" w:cs="Times New Roman"/>
          <w:b/>
          <w:i/>
          <w:color w:val="060606"/>
        </w:rPr>
        <w:t>:</w:t>
      </w:r>
    </w:p>
    <w:p w14:paraId="247C7ADD" w14:textId="77777777" w:rsidR="002C55B0" w:rsidRPr="00FD4FD5" w:rsidRDefault="002C55B0" w:rsidP="00FD4FD5">
      <w:pPr>
        <w:pStyle w:val="ListParagraph"/>
        <w:widowControl w:val="0"/>
        <w:numPr>
          <w:ilvl w:val="0"/>
          <w:numId w:val="5"/>
        </w:numPr>
        <w:autoSpaceDE w:val="0"/>
        <w:autoSpaceDN w:val="0"/>
        <w:adjustRightInd w:val="0"/>
        <w:spacing w:after="240"/>
        <w:rPr>
          <w:rFonts w:ascii="Cambria" w:hAnsi="Cambria" w:cs="Times New Roman"/>
          <w:color w:val="060606"/>
        </w:rPr>
      </w:pPr>
      <w:r w:rsidRPr="00FD4FD5">
        <w:rPr>
          <w:rFonts w:ascii="Cambria" w:hAnsi="Cambria" w:cs="Times New Roman"/>
          <w:color w:val="060606"/>
        </w:rPr>
        <w:t>The strategic plan will identify three to five major goals for the University to be pursued over the nex</w:t>
      </w:r>
      <w:r w:rsidR="006D52BE" w:rsidRPr="00FD4FD5">
        <w:rPr>
          <w:rFonts w:ascii="Cambria" w:hAnsi="Cambria" w:cs="Times New Roman"/>
          <w:color w:val="060606"/>
        </w:rPr>
        <w:t>t five years.</w:t>
      </w:r>
    </w:p>
    <w:p w14:paraId="63FF0D04" w14:textId="6816BAAC" w:rsidR="002C6034" w:rsidRPr="005C2070" w:rsidRDefault="006D52BE" w:rsidP="006743AB">
      <w:pPr>
        <w:pStyle w:val="ListParagraph"/>
        <w:widowControl w:val="0"/>
        <w:numPr>
          <w:ilvl w:val="0"/>
          <w:numId w:val="5"/>
        </w:numPr>
        <w:autoSpaceDE w:val="0"/>
        <w:autoSpaceDN w:val="0"/>
        <w:adjustRightInd w:val="0"/>
        <w:spacing w:after="240"/>
        <w:rPr>
          <w:rFonts w:ascii="Cambria" w:hAnsi="Cambria" w:cs="Times New Roman"/>
          <w:color w:val="060606"/>
        </w:rPr>
      </w:pPr>
      <w:r w:rsidRPr="005C2070">
        <w:rPr>
          <w:rFonts w:ascii="Cambria" w:hAnsi="Cambria" w:cs="Times New Roman"/>
          <w:color w:val="060606"/>
        </w:rPr>
        <w:lastRenderedPageBreak/>
        <w:t>The time period to be covered is 2015-2020.</w:t>
      </w:r>
    </w:p>
    <w:p w14:paraId="5BC4E8F0" w14:textId="77777777" w:rsidR="006D52BE" w:rsidRPr="00FD4FD5" w:rsidRDefault="006D52BE" w:rsidP="00FD4FD5">
      <w:pPr>
        <w:pStyle w:val="ListParagraph"/>
        <w:widowControl w:val="0"/>
        <w:numPr>
          <w:ilvl w:val="0"/>
          <w:numId w:val="5"/>
        </w:numPr>
        <w:autoSpaceDE w:val="0"/>
        <w:autoSpaceDN w:val="0"/>
        <w:adjustRightInd w:val="0"/>
        <w:spacing w:after="240"/>
        <w:rPr>
          <w:rFonts w:ascii="Cambria" w:hAnsi="Cambria" w:cs="Times New Roman"/>
          <w:color w:val="060606"/>
        </w:rPr>
      </w:pPr>
      <w:r w:rsidRPr="00FD4FD5">
        <w:rPr>
          <w:rFonts w:ascii="Cambria" w:hAnsi="Cambria" w:cs="Times New Roman"/>
          <w:color w:val="060606"/>
        </w:rPr>
        <w:t>The plan will include measures of success, the individual (position) responsible for overseeing the implementation, and any resources required to ensure the implementation.</w:t>
      </w:r>
    </w:p>
    <w:p w14:paraId="2C292F35" w14:textId="77777777" w:rsidR="006D52BE" w:rsidRPr="00FD4FD5" w:rsidRDefault="006D52BE" w:rsidP="00FD4FD5">
      <w:pPr>
        <w:pStyle w:val="ListParagraph"/>
        <w:widowControl w:val="0"/>
        <w:numPr>
          <w:ilvl w:val="0"/>
          <w:numId w:val="5"/>
        </w:numPr>
        <w:autoSpaceDE w:val="0"/>
        <w:autoSpaceDN w:val="0"/>
        <w:adjustRightInd w:val="0"/>
        <w:spacing w:after="240"/>
        <w:rPr>
          <w:rFonts w:ascii="Cambria" w:hAnsi="Cambria" w:cs="Times New Roman"/>
          <w:color w:val="060606"/>
        </w:rPr>
      </w:pPr>
      <w:r w:rsidRPr="00FD4FD5">
        <w:rPr>
          <w:rFonts w:ascii="Cambria" w:hAnsi="Cambria" w:cs="Times New Roman"/>
          <w:color w:val="060606"/>
        </w:rPr>
        <w:t>The final document will be no more than 25 pages in length (additional resources may be posted on the website), and it will be reproduced in a “pocket” format so that every member of the University community has a copy.</w:t>
      </w:r>
    </w:p>
    <w:p w14:paraId="2A36CE02" w14:textId="2845FF43" w:rsidR="006D52BE" w:rsidRPr="00FD4FD5" w:rsidRDefault="006D52BE" w:rsidP="006D52BE">
      <w:pPr>
        <w:pStyle w:val="ListParagraph"/>
        <w:widowControl w:val="0"/>
        <w:numPr>
          <w:ilvl w:val="0"/>
          <w:numId w:val="5"/>
        </w:numPr>
        <w:autoSpaceDE w:val="0"/>
        <w:autoSpaceDN w:val="0"/>
        <w:adjustRightInd w:val="0"/>
        <w:spacing w:after="240"/>
        <w:rPr>
          <w:rFonts w:ascii="Cambria" w:hAnsi="Cambria" w:cs="Times New Roman"/>
          <w:color w:val="060606"/>
        </w:rPr>
      </w:pPr>
      <w:r w:rsidRPr="00FD4FD5">
        <w:rPr>
          <w:rFonts w:ascii="Cambria" w:hAnsi="Cambria" w:cs="Times New Roman"/>
          <w:color w:val="060606"/>
        </w:rPr>
        <w:t xml:space="preserve">Beginning in June 2016, an annual update </w:t>
      </w:r>
      <w:r w:rsidR="00FD4FD5">
        <w:rPr>
          <w:rFonts w:ascii="Cambria" w:hAnsi="Cambria" w:cs="Times New Roman"/>
          <w:color w:val="060606"/>
        </w:rPr>
        <w:t>will be prepared by the President’s Office to</w:t>
      </w:r>
      <w:r w:rsidRPr="00FD4FD5">
        <w:rPr>
          <w:rFonts w:ascii="Cambria" w:hAnsi="Cambria" w:cs="Times New Roman"/>
          <w:color w:val="060606"/>
        </w:rPr>
        <w:t xml:space="preserve"> summarize progress toward the goals o</w:t>
      </w:r>
      <w:r w:rsidR="00E57667">
        <w:rPr>
          <w:rFonts w:ascii="Cambria" w:hAnsi="Cambria" w:cs="Times New Roman"/>
          <w:color w:val="060606"/>
        </w:rPr>
        <w:t xml:space="preserve">utlined in the strategic plan; </w:t>
      </w:r>
      <w:r w:rsidRPr="00FD4FD5">
        <w:rPr>
          <w:rFonts w:ascii="Cambria" w:hAnsi="Cambria" w:cs="Times New Roman"/>
          <w:color w:val="060606"/>
        </w:rPr>
        <w:t>these updates will be included on the website, too.</w:t>
      </w:r>
    </w:p>
    <w:p w14:paraId="1389ECC2" w14:textId="77777777" w:rsidR="006D52BE" w:rsidRPr="00FD4FD5" w:rsidRDefault="006D52BE" w:rsidP="006D52BE">
      <w:pPr>
        <w:widowControl w:val="0"/>
        <w:autoSpaceDE w:val="0"/>
        <w:autoSpaceDN w:val="0"/>
        <w:adjustRightInd w:val="0"/>
        <w:spacing w:after="240"/>
        <w:contextualSpacing/>
        <w:rPr>
          <w:rFonts w:ascii="Cambria" w:hAnsi="Cambria" w:cs="Times New Roman"/>
          <w:b/>
          <w:i/>
          <w:color w:val="060606"/>
        </w:rPr>
      </w:pPr>
      <w:r w:rsidRPr="00FD4FD5">
        <w:rPr>
          <w:rFonts w:ascii="Cambria" w:hAnsi="Cambria" w:cs="Times New Roman"/>
          <w:b/>
          <w:i/>
          <w:color w:val="060606"/>
        </w:rPr>
        <w:t>Logistics:</w:t>
      </w:r>
    </w:p>
    <w:p w14:paraId="2F79444F" w14:textId="77777777" w:rsidR="00FD4FD5" w:rsidRPr="00FD4FD5" w:rsidRDefault="00D54450" w:rsidP="00FD4FD5">
      <w:pPr>
        <w:pStyle w:val="ListParagraph"/>
        <w:widowControl w:val="0"/>
        <w:numPr>
          <w:ilvl w:val="0"/>
          <w:numId w:val="6"/>
        </w:numPr>
        <w:autoSpaceDE w:val="0"/>
        <w:autoSpaceDN w:val="0"/>
        <w:adjustRightInd w:val="0"/>
        <w:spacing w:after="240"/>
        <w:rPr>
          <w:rFonts w:ascii="Cambria" w:hAnsi="Cambria" w:cs="Times New Roman"/>
          <w:color w:val="060606"/>
        </w:rPr>
      </w:pPr>
      <w:r w:rsidRPr="00FD4FD5">
        <w:rPr>
          <w:rFonts w:ascii="Cambria" w:hAnsi="Cambria" w:cs="Times New Roman"/>
          <w:color w:val="060606"/>
        </w:rPr>
        <w:t xml:space="preserve">The Strategic Planning Steering Committee will meet on alternate Tuesdays, </w:t>
      </w:r>
      <w:r w:rsidR="00DB11B5" w:rsidRPr="00FD4FD5">
        <w:rPr>
          <w:rFonts w:ascii="Cambria" w:hAnsi="Cambria" w:cs="Times New Roman"/>
          <w:color w:val="060606"/>
        </w:rPr>
        <w:t xml:space="preserve">between 3-5 p.m., </w:t>
      </w:r>
      <w:r w:rsidRPr="00FD4FD5">
        <w:rPr>
          <w:rFonts w:ascii="Cambria" w:hAnsi="Cambria" w:cs="Times New Roman"/>
          <w:color w:val="060606"/>
        </w:rPr>
        <w:t>on the weeks when the University Senate does not convene.</w:t>
      </w:r>
      <w:r w:rsidR="00FD4FD5" w:rsidRPr="00FD4FD5">
        <w:rPr>
          <w:rFonts w:ascii="Cambria" w:hAnsi="Cambria" w:cs="Times New Roman"/>
          <w:color w:val="060606"/>
        </w:rPr>
        <w:t xml:space="preserve">  </w:t>
      </w:r>
    </w:p>
    <w:p w14:paraId="66D6E373" w14:textId="5A3E67AF" w:rsidR="00FD4FD5" w:rsidRPr="00FD4FD5" w:rsidRDefault="006D52BE" w:rsidP="00FD4FD5">
      <w:pPr>
        <w:pStyle w:val="ListParagraph"/>
        <w:widowControl w:val="0"/>
        <w:numPr>
          <w:ilvl w:val="0"/>
          <w:numId w:val="6"/>
        </w:numPr>
        <w:autoSpaceDE w:val="0"/>
        <w:autoSpaceDN w:val="0"/>
        <w:adjustRightInd w:val="0"/>
        <w:spacing w:after="240"/>
        <w:rPr>
          <w:rFonts w:ascii="Cambria" w:hAnsi="Cambria" w:cs="Times New Roman"/>
          <w:color w:val="060606"/>
        </w:rPr>
      </w:pPr>
      <w:r w:rsidRPr="00FD4FD5">
        <w:rPr>
          <w:rFonts w:ascii="Cambria" w:hAnsi="Cambria" w:cs="Times New Roman"/>
          <w:color w:val="060606"/>
        </w:rPr>
        <w:t>An administrative assistant will be assigned to each goal group to facilitate their efforts, including scheduling meetings and taking minutes.</w:t>
      </w:r>
    </w:p>
    <w:p w14:paraId="36DE657B" w14:textId="4C9926F7" w:rsidR="00D3532F" w:rsidRPr="00FD4FD5" w:rsidRDefault="006D52BE" w:rsidP="006D52BE">
      <w:pPr>
        <w:pStyle w:val="ListParagraph"/>
        <w:widowControl w:val="0"/>
        <w:numPr>
          <w:ilvl w:val="0"/>
          <w:numId w:val="6"/>
        </w:numPr>
        <w:autoSpaceDE w:val="0"/>
        <w:autoSpaceDN w:val="0"/>
        <w:adjustRightInd w:val="0"/>
        <w:spacing w:after="240"/>
        <w:rPr>
          <w:rFonts w:ascii="Cambria" w:hAnsi="Cambria" w:cs="Times New Roman"/>
          <w:color w:val="060606"/>
        </w:rPr>
      </w:pPr>
      <w:r w:rsidRPr="00FD4FD5">
        <w:rPr>
          <w:rFonts w:ascii="Cambria" w:hAnsi="Cambria" w:cs="Times New Roman"/>
          <w:color w:val="060606"/>
        </w:rPr>
        <w:t>Minutes from the meetings will be posted on a strategic planning website.</w:t>
      </w:r>
    </w:p>
    <w:p w14:paraId="18DCFDDB" w14:textId="77777777" w:rsidR="008078EF" w:rsidRDefault="008078EF" w:rsidP="006D52BE">
      <w:pPr>
        <w:widowControl w:val="0"/>
        <w:autoSpaceDE w:val="0"/>
        <w:autoSpaceDN w:val="0"/>
        <w:adjustRightInd w:val="0"/>
        <w:spacing w:after="240"/>
        <w:contextualSpacing/>
        <w:rPr>
          <w:rFonts w:ascii="Cambria" w:hAnsi="Cambria" w:cs="Times New Roman"/>
          <w:color w:val="060606"/>
        </w:rPr>
      </w:pPr>
    </w:p>
    <w:p w14:paraId="71038BB4" w14:textId="77777777" w:rsidR="008078EF" w:rsidRDefault="008078EF" w:rsidP="006D52BE">
      <w:pPr>
        <w:widowControl w:val="0"/>
        <w:autoSpaceDE w:val="0"/>
        <w:autoSpaceDN w:val="0"/>
        <w:adjustRightInd w:val="0"/>
        <w:spacing w:after="240"/>
        <w:contextualSpacing/>
        <w:rPr>
          <w:rFonts w:ascii="Cambria" w:hAnsi="Cambria" w:cs="Times New Roman"/>
          <w:b/>
          <w:i/>
          <w:color w:val="060606"/>
        </w:rPr>
      </w:pPr>
      <w:r w:rsidRPr="00FD4FD5">
        <w:rPr>
          <w:rFonts w:ascii="Cambria" w:hAnsi="Cambria" w:cs="Times New Roman"/>
          <w:b/>
          <w:i/>
          <w:color w:val="060606"/>
        </w:rPr>
        <w:t>Context:</w:t>
      </w:r>
    </w:p>
    <w:p w14:paraId="195E7007" w14:textId="77777777" w:rsidR="008E2DBA" w:rsidRPr="00FD4FD5" w:rsidRDefault="008E2DBA" w:rsidP="006D52BE">
      <w:pPr>
        <w:widowControl w:val="0"/>
        <w:autoSpaceDE w:val="0"/>
        <w:autoSpaceDN w:val="0"/>
        <w:adjustRightInd w:val="0"/>
        <w:spacing w:after="240"/>
        <w:contextualSpacing/>
        <w:rPr>
          <w:rFonts w:ascii="Cambria" w:hAnsi="Cambria" w:cs="Times New Roman"/>
          <w:b/>
          <w:i/>
          <w:color w:val="060606"/>
        </w:rPr>
      </w:pPr>
    </w:p>
    <w:p w14:paraId="1777BC67" w14:textId="19C1166B" w:rsidR="007B7BE4" w:rsidRDefault="007B7BE4" w:rsidP="00FD4FD5">
      <w:pPr>
        <w:widowControl w:val="0"/>
        <w:autoSpaceDE w:val="0"/>
        <w:autoSpaceDN w:val="0"/>
        <w:adjustRightInd w:val="0"/>
        <w:spacing w:after="240"/>
        <w:ind w:firstLine="720"/>
        <w:contextualSpacing/>
        <w:rPr>
          <w:rFonts w:ascii="Cambria" w:hAnsi="Cambria" w:cs="Times New Roman"/>
          <w:color w:val="060606"/>
        </w:rPr>
      </w:pPr>
      <w:r>
        <w:rPr>
          <w:rFonts w:ascii="Cambria" w:hAnsi="Cambria" w:cs="Times New Roman"/>
          <w:color w:val="060606"/>
        </w:rPr>
        <w:t xml:space="preserve">Humboldt State’s Strategic Plan for 2015-2020 will build on goals that have evolved through previous strategic planning processes in the last decade.   </w:t>
      </w:r>
      <w:r w:rsidR="00D3532F">
        <w:rPr>
          <w:rFonts w:ascii="Cambria" w:hAnsi="Cambria" w:cs="Times New Roman"/>
          <w:color w:val="060606"/>
        </w:rPr>
        <w:t>These goals reflect some important themes, a number of which continue to be critical for the University’s future.</w:t>
      </w:r>
    </w:p>
    <w:p w14:paraId="2D4BB48D" w14:textId="77777777" w:rsidR="00D3532F" w:rsidRDefault="00D3532F" w:rsidP="006D52BE">
      <w:pPr>
        <w:widowControl w:val="0"/>
        <w:autoSpaceDE w:val="0"/>
        <w:autoSpaceDN w:val="0"/>
        <w:adjustRightInd w:val="0"/>
        <w:spacing w:after="240"/>
        <w:contextualSpacing/>
        <w:rPr>
          <w:rFonts w:ascii="Cambria" w:hAnsi="Cambria" w:cs="Times New Roman"/>
          <w:color w:val="060606"/>
        </w:rPr>
      </w:pPr>
    </w:p>
    <w:tbl>
      <w:tblPr>
        <w:tblStyle w:val="TableGrid"/>
        <w:tblW w:w="0" w:type="auto"/>
        <w:tblLook w:val="04A0" w:firstRow="1" w:lastRow="0" w:firstColumn="1" w:lastColumn="0" w:noHBand="0" w:noVBand="1"/>
      </w:tblPr>
      <w:tblGrid>
        <w:gridCol w:w="2888"/>
        <w:gridCol w:w="2876"/>
        <w:gridCol w:w="2866"/>
      </w:tblGrid>
      <w:tr w:rsidR="00D3532F" w14:paraId="7FED0CD3" w14:textId="77777777" w:rsidTr="00D3532F">
        <w:tc>
          <w:tcPr>
            <w:tcW w:w="2952" w:type="dxa"/>
          </w:tcPr>
          <w:p w14:paraId="7682243A" w14:textId="6D73E2FC" w:rsidR="00D3532F" w:rsidRDefault="00D3532F" w:rsidP="006D52BE">
            <w:pPr>
              <w:widowControl w:val="0"/>
              <w:autoSpaceDE w:val="0"/>
              <w:autoSpaceDN w:val="0"/>
              <w:adjustRightInd w:val="0"/>
              <w:spacing w:after="240"/>
              <w:contextualSpacing/>
              <w:rPr>
                <w:rFonts w:ascii="Cambria" w:hAnsi="Cambria" w:cs="Times New Roman"/>
                <w:color w:val="060606"/>
              </w:rPr>
            </w:pPr>
            <w:r>
              <w:rPr>
                <w:rFonts w:ascii="Cambria" w:hAnsi="Cambria" w:cs="Times New Roman"/>
                <w:color w:val="060606"/>
              </w:rPr>
              <w:t>HSU Strategic Plan 2004-2009</w:t>
            </w:r>
          </w:p>
        </w:tc>
        <w:tc>
          <w:tcPr>
            <w:tcW w:w="2952" w:type="dxa"/>
          </w:tcPr>
          <w:p w14:paraId="79B4AB32" w14:textId="11D7C6AD" w:rsidR="00D3532F" w:rsidRDefault="00D3532F" w:rsidP="006D52BE">
            <w:pPr>
              <w:widowControl w:val="0"/>
              <w:autoSpaceDE w:val="0"/>
              <w:autoSpaceDN w:val="0"/>
              <w:adjustRightInd w:val="0"/>
              <w:spacing w:after="240"/>
              <w:contextualSpacing/>
              <w:rPr>
                <w:rFonts w:ascii="Cambria" w:hAnsi="Cambria" w:cs="Times New Roman"/>
                <w:color w:val="060606"/>
              </w:rPr>
            </w:pPr>
            <w:r>
              <w:rPr>
                <w:rFonts w:ascii="Cambria" w:hAnsi="Cambria" w:cs="Times New Roman"/>
                <w:color w:val="060606"/>
              </w:rPr>
              <w:t>Cabinet for Institutional Change (February 2010)</w:t>
            </w:r>
          </w:p>
        </w:tc>
        <w:tc>
          <w:tcPr>
            <w:tcW w:w="2952" w:type="dxa"/>
          </w:tcPr>
          <w:p w14:paraId="23188D2F" w14:textId="1DED8855" w:rsidR="00D3532F" w:rsidRDefault="00D3532F" w:rsidP="006D52BE">
            <w:pPr>
              <w:widowControl w:val="0"/>
              <w:autoSpaceDE w:val="0"/>
              <w:autoSpaceDN w:val="0"/>
              <w:adjustRightInd w:val="0"/>
              <w:spacing w:after="240"/>
              <w:contextualSpacing/>
              <w:rPr>
                <w:rFonts w:ascii="Cambria" w:hAnsi="Cambria" w:cs="Times New Roman"/>
                <w:color w:val="060606"/>
              </w:rPr>
            </w:pPr>
            <w:r>
              <w:rPr>
                <w:rFonts w:ascii="Cambria" w:hAnsi="Cambria" w:cs="Times New Roman"/>
                <w:color w:val="060606"/>
              </w:rPr>
              <w:t>HSU Priorities 2012-2016</w:t>
            </w:r>
          </w:p>
        </w:tc>
      </w:tr>
      <w:tr w:rsidR="00D3532F" w:rsidRPr="00D3532F" w14:paraId="0F7FE465" w14:textId="77777777" w:rsidTr="00D3532F">
        <w:tc>
          <w:tcPr>
            <w:tcW w:w="2952" w:type="dxa"/>
          </w:tcPr>
          <w:p w14:paraId="4412092B" w14:textId="3C93E22C" w:rsidR="00D3532F" w:rsidRPr="00D3532F" w:rsidRDefault="00D3532F" w:rsidP="006D52BE">
            <w:pPr>
              <w:widowControl w:val="0"/>
              <w:autoSpaceDE w:val="0"/>
              <w:autoSpaceDN w:val="0"/>
              <w:adjustRightInd w:val="0"/>
              <w:spacing w:after="240"/>
              <w:contextualSpacing/>
              <w:rPr>
                <w:rFonts w:ascii="Cambria" w:hAnsi="Cambria" w:cs="Times New Roman"/>
                <w:i/>
                <w:color w:val="060606"/>
              </w:rPr>
            </w:pPr>
            <w:r w:rsidRPr="00D3532F">
              <w:rPr>
                <w:rFonts w:ascii="Cambria" w:hAnsi="Cambria" w:cs="Times New Roman"/>
                <w:i/>
                <w:color w:val="060606"/>
              </w:rPr>
              <w:t>Goals</w:t>
            </w:r>
          </w:p>
        </w:tc>
        <w:tc>
          <w:tcPr>
            <w:tcW w:w="2952" w:type="dxa"/>
          </w:tcPr>
          <w:p w14:paraId="02F67CAF" w14:textId="10587BCB" w:rsidR="00D3532F" w:rsidRPr="00D3532F" w:rsidRDefault="00D3532F" w:rsidP="006D52BE">
            <w:pPr>
              <w:widowControl w:val="0"/>
              <w:autoSpaceDE w:val="0"/>
              <w:autoSpaceDN w:val="0"/>
              <w:adjustRightInd w:val="0"/>
              <w:spacing w:after="240"/>
              <w:contextualSpacing/>
              <w:rPr>
                <w:rFonts w:ascii="Cambria" w:hAnsi="Cambria" w:cs="Times New Roman"/>
                <w:i/>
                <w:color w:val="060606"/>
              </w:rPr>
            </w:pPr>
            <w:r>
              <w:rPr>
                <w:rFonts w:ascii="Cambria" w:hAnsi="Cambria" w:cs="Times New Roman"/>
                <w:i/>
                <w:color w:val="060606"/>
              </w:rPr>
              <w:t>Focus areas</w:t>
            </w:r>
          </w:p>
        </w:tc>
        <w:tc>
          <w:tcPr>
            <w:tcW w:w="2952" w:type="dxa"/>
          </w:tcPr>
          <w:p w14:paraId="4519F2AE" w14:textId="2D91CB00" w:rsidR="00D3532F" w:rsidRPr="00D3532F" w:rsidRDefault="00D3532F" w:rsidP="006D52BE">
            <w:pPr>
              <w:widowControl w:val="0"/>
              <w:autoSpaceDE w:val="0"/>
              <w:autoSpaceDN w:val="0"/>
              <w:adjustRightInd w:val="0"/>
              <w:spacing w:after="240"/>
              <w:contextualSpacing/>
              <w:rPr>
                <w:rFonts w:ascii="Cambria" w:hAnsi="Cambria" w:cs="Times New Roman"/>
                <w:i/>
                <w:color w:val="060606"/>
              </w:rPr>
            </w:pPr>
            <w:r>
              <w:rPr>
                <w:rFonts w:ascii="Cambria" w:hAnsi="Cambria" w:cs="Times New Roman"/>
                <w:i/>
                <w:color w:val="060606"/>
              </w:rPr>
              <w:t>Priorities</w:t>
            </w:r>
          </w:p>
        </w:tc>
      </w:tr>
      <w:tr w:rsidR="00D3532F" w:rsidRPr="00D3532F" w14:paraId="53C17920" w14:textId="77777777" w:rsidTr="00D3532F">
        <w:tc>
          <w:tcPr>
            <w:tcW w:w="2952" w:type="dxa"/>
          </w:tcPr>
          <w:p w14:paraId="413CCD40" w14:textId="77777777" w:rsidR="00D3532F" w:rsidRPr="00D3532F" w:rsidRDefault="00D3532F" w:rsidP="006D52BE">
            <w:pPr>
              <w:widowControl w:val="0"/>
              <w:autoSpaceDE w:val="0"/>
              <w:autoSpaceDN w:val="0"/>
              <w:adjustRightInd w:val="0"/>
              <w:spacing w:after="240"/>
              <w:contextualSpacing/>
              <w:rPr>
                <w:rFonts w:ascii="Cambria" w:hAnsi="Cambria" w:cs="Times New Roman"/>
                <w:i/>
                <w:color w:val="060606"/>
              </w:rPr>
            </w:pPr>
          </w:p>
        </w:tc>
        <w:tc>
          <w:tcPr>
            <w:tcW w:w="2952" w:type="dxa"/>
          </w:tcPr>
          <w:p w14:paraId="549AF6FA" w14:textId="77777777" w:rsidR="00D3532F" w:rsidRDefault="00D3532F" w:rsidP="006D52BE">
            <w:pPr>
              <w:widowControl w:val="0"/>
              <w:autoSpaceDE w:val="0"/>
              <w:autoSpaceDN w:val="0"/>
              <w:adjustRightInd w:val="0"/>
              <w:spacing w:after="240"/>
              <w:contextualSpacing/>
              <w:rPr>
                <w:rFonts w:ascii="Cambria" w:hAnsi="Cambria" w:cs="Times New Roman"/>
                <w:i/>
                <w:color w:val="060606"/>
              </w:rPr>
            </w:pPr>
          </w:p>
        </w:tc>
        <w:tc>
          <w:tcPr>
            <w:tcW w:w="2952" w:type="dxa"/>
          </w:tcPr>
          <w:p w14:paraId="5801AFC8" w14:textId="77777777" w:rsidR="00D3532F" w:rsidRDefault="00D3532F" w:rsidP="006D52BE">
            <w:pPr>
              <w:widowControl w:val="0"/>
              <w:autoSpaceDE w:val="0"/>
              <w:autoSpaceDN w:val="0"/>
              <w:adjustRightInd w:val="0"/>
              <w:spacing w:after="240"/>
              <w:contextualSpacing/>
              <w:rPr>
                <w:rFonts w:ascii="Cambria" w:hAnsi="Cambria" w:cs="Times New Roman"/>
                <w:i/>
                <w:color w:val="060606"/>
              </w:rPr>
            </w:pPr>
          </w:p>
        </w:tc>
      </w:tr>
      <w:tr w:rsidR="00D3532F" w14:paraId="67B3093D" w14:textId="77777777" w:rsidTr="00D3532F">
        <w:tc>
          <w:tcPr>
            <w:tcW w:w="2952" w:type="dxa"/>
          </w:tcPr>
          <w:p w14:paraId="38699F61" w14:textId="330C65F0" w:rsidR="00D3532F" w:rsidRDefault="00D3532F" w:rsidP="006D52BE">
            <w:pPr>
              <w:widowControl w:val="0"/>
              <w:autoSpaceDE w:val="0"/>
              <w:autoSpaceDN w:val="0"/>
              <w:adjustRightInd w:val="0"/>
              <w:spacing w:after="240"/>
              <w:contextualSpacing/>
              <w:rPr>
                <w:rFonts w:ascii="Cambria" w:hAnsi="Cambria" w:cs="Times New Roman"/>
                <w:color w:val="060606"/>
              </w:rPr>
            </w:pPr>
            <w:r>
              <w:rPr>
                <w:rFonts w:ascii="Cambria" w:hAnsi="Cambria" w:cs="Times New Roman"/>
                <w:color w:val="060606"/>
              </w:rPr>
              <w:t>Academic excellence</w:t>
            </w:r>
          </w:p>
        </w:tc>
        <w:tc>
          <w:tcPr>
            <w:tcW w:w="2952" w:type="dxa"/>
          </w:tcPr>
          <w:p w14:paraId="471417EA" w14:textId="4050A8ED" w:rsidR="00D3532F" w:rsidRDefault="00D3532F" w:rsidP="006D52BE">
            <w:pPr>
              <w:widowControl w:val="0"/>
              <w:autoSpaceDE w:val="0"/>
              <w:autoSpaceDN w:val="0"/>
              <w:adjustRightInd w:val="0"/>
              <w:spacing w:after="240"/>
              <w:contextualSpacing/>
              <w:rPr>
                <w:rFonts w:ascii="Cambria" w:hAnsi="Cambria" w:cs="Times New Roman"/>
                <w:color w:val="060606"/>
              </w:rPr>
            </w:pPr>
            <w:r>
              <w:rPr>
                <w:rFonts w:ascii="Cambria" w:hAnsi="Cambria" w:cs="Times New Roman"/>
                <w:color w:val="060606"/>
              </w:rPr>
              <w:t>Vision</w:t>
            </w:r>
          </w:p>
        </w:tc>
        <w:tc>
          <w:tcPr>
            <w:tcW w:w="2952" w:type="dxa"/>
          </w:tcPr>
          <w:p w14:paraId="68E65761" w14:textId="4B5772D8" w:rsidR="00D3532F" w:rsidRDefault="00D3532F" w:rsidP="006D52BE">
            <w:pPr>
              <w:widowControl w:val="0"/>
              <w:autoSpaceDE w:val="0"/>
              <w:autoSpaceDN w:val="0"/>
              <w:adjustRightInd w:val="0"/>
              <w:spacing w:after="240"/>
              <w:contextualSpacing/>
              <w:rPr>
                <w:rFonts w:ascii="Cambria" w:hAnsi="Cambria" w:cs="Times New Roman"/>
                <w:color w:val="060606"/>
              </w:rPr>
            </w:pPr>
            <w:r>
              <w:rPr>
                <w:rFonts w:ascii="Cambria" w:hAnsi="Cambria" w:cs="Times New Roman"/>
                <w:color w:val="060606"/>
              </w:rPr>
              <w:t>Student success</w:t>
            </w:r>
          </w:p>
        </w:tc>
      </w:tr>
      <w:tr w:rsidR="00D3532F" w14:paraId="55CD2301" w14:textId="77777777" w:rsidTr="00D3532F">
        <w:tc>
          <w:tcPr>
            <w:tcW w:w="2952" w:type="dxa"/>
          </w:tcPr>
          <w:p w14:paraId="5A7663AB" w14:textId="7DAF71D7" w:rsidR="00D3532F" w:rsidRDefault="00D3532F" w:rsidP="006D52BE">
            <w:pPr>
              <w:widowControl w:val="0"/>
              <w:autoSpaceDE w:val="0"/>
              <w:autoSpaceDN w:val="0"/>
              <w:adjustRightInd w:val="0"/>
              <w:spacing w:after="240"/>
              <w:contextualSpacing/>
              <w:rPr>
                <w:rFonts w:ascii="Cambria" w:hAnsi="Cambria" w:cs="Times New Roman"/>
                <w:color w:val="060606"/>
              </w:rPr>
            </w:pPr>
            <w:r>
              <w:rPr>
                <w:rFonts w:ascii="Cambria" w:hAnsi="Cambria" w:cs="Times New Roman"/>
                <w:color w:val="060606"/>
              </w:rPr>
              <w:t>Community of student scholars</w:t>
            </w:r>
          </w:p>
        </w:tc>
        <w:tc>
          <w:tcPr>
            <w:tcW w:w="2952" w:type="dxa"/>
          </w:tcPr>
          <w:p w14:paraId="0ADA704A" w14:textId="716D5FF1" w:rsidR="00D3532F" w:rsidRDefault="00D3532F" w:rsidP="006D52BE">
            <w:pPr>
              <w:widowControl w:val="0"/>
              <w:autoSpaceDE w:val="0"/>
              <w:autoSpaceDN w:val="0"/>
              <w:adjustRightInd w:val="0"/>
              <w:spacing w:after="240"/>
              <w:contextualSpacing/>
              <w:rPr>
                <w:rFonts w:ascii="Cambria" w:hAnsi="Cambria" w:cs="Times New Roman"/>
                <w:color w:val="060606"/>
              </w:rPr>
            </w:pPr>
            <w:r>
              <w:rPr>
                <w:rFonts w:ascii="Cambria" w:hAnsi="Cambria" w:cs="Times New Roman"/>
                <w:color w:val="060606"/>
              </w:rPr>
              <w:t>Campus governance</w:t>
            </w:r>
          </w:p>
        </w:tc>
        <w:tc>
          <w:tcPr>
            <w:tcW w:w="2952" w:type="dxa"/>
          </w:tcPr>
          <w:p w14:paraId="79128033" w14:textId="74DDB676" w:rsidR="00D3532F" w:rsidRDefault="00D3532F" w:rsidP="006D52BE">
            <w:pPr>
              <w:widowControl w:val="0"/>
              <w:autoSpaceDE w:val="0"/>
              <w:autoSpaceDN w:val="0"/>
              <w:adjustRightInd w:val="0"/>
              <w:spacing w:after="240"/>
              <w:contextualSpacing/>
              <w:rPr>
                <w:rFonts w:ascii="Cambria" w:hAnsi="Cambria" w:cs="Times New Roman"/>
                <w:color w:val="060606"/>
              </w:rPr>
            </w:pPr>
            <w:r>
              <w:rPr>
                <w:rFonts w:ascii="Cambria" w:hAnsi="Cambria" w:cs="Times New Roman"/>
                <w:color w:val="060606"/>
              </w:rPr>
              <w:t>Enhancing revenue</w:t>
            </w:r>
          </w:p>
        </w:tc>
      </w:tr>
      <w:tr w:rsidR="00D3532F" w14:paraId="1B032EE2" w14:textId="77777777" w:rsidTr="00D3532F">
        <w:tc>
          <w:tcPr>
            <w:tcW w:w="2952" w:type="dxa"/>
          </w:tcPr>
          <w:p w14:paraId="39C4CE95" w14:textId="4EAF3426" w:rsidR="00D3532F" w:rsidRDefault="00D3532F" w:rsidP="006D52BE">
            <w:pPr>
              <w:widowControl w:val="0"/>
              <w:autoSpaceDE w:val="0"/>
              <w:autoSpaceDN w:val="0"/>
              <w:adjustRightInd w:val="0"/>
              <w:spacing w:after="240"/>
              <w:contextualSpacing/>
              <w:rPr>
                <w:rFonts w:ascii="Cambria" w:hAnsi="Cambria" w:cs="Times New Roman"/>
                <w:color w:val="060606"/>
              </w:rPr>
            </w:pPr>
            <w:r>
              <w:rPr>
                <w:rFonts w:ascii="Cambria" w:hAnsi="Cambria" w:cs="Times New Roman"/>
                <w:color w:val="060606"/>
              </w:rPr>
              <w:t>Cultural richness</w:t>
            </w:r>
          </w:p>
        </w:tc>
        <w:tc>
          <w:tcPr>
            <w:tcW w:w="2952" w:type="dxa"/>
          </w:tcPr>
          <w:p w14:paraId="4E35EF36" w14:textId="0C068435" w:rsidR="00D3532F" w:rsidRDefault="00D3532F" w:rsidP="006D52BE">
            <w:pPr>
              <w:widowControl w:val="0"/>
              <w:autoSpaceDE w:val="0"/>
              <w:autoSpaceDN w:val="0"/>
              <w:adjustRightInd w:val="0"/>
              <w:spacing w:after="240"/>
              <w:contextualSpacing/>
              <w:rPr>
                <w:rFonts w:ascii="Cambria" w:hAnsi="Cambria" w:cs="Times New Roman"/>
                <w:color w:val="060606"/>
              </w:rPr>
            </w:pPr>
            <w:r>
              <w:rPr>
                <w:rFonts w:ascii="Cambria" w:hAnsi="Cambria" w:cs="Times New Roman"/>
                <w:color w:val="060606"/>
              </w:rPr>
              <w:t>Student success</w:t>
            </w:r>
          </w:p>
        </w:tc>
        <w:tc>
          <w:tcPr>
            <w:tcW w:w="2952" w:type="dxa"/>
          </w:tcPr>
          <w:p w14:paraId="0626D698" w14:textId="743F3236" w:rsidR="00D3532F" w:rsidRDefault="00D3532F" w:rsidP="006D52BE">
            <w:pPr>
              <w:widowControl w:val="0"/>
              <w:autoSpaceDE w:val="0"/>
              <w:autoSpaceDN w:val="0"/>
              <w:adjustRightInd w:val="0"/>
              <w:spacing w:after="240"/>
              <w:contextualSpacing/>
              <w:rPr>
                <w:rFonts w:ascii="Cambria" w:hAnsi="Cambria" w:cs="Times New Roman"/>
                <w:color w:val="060606"/>
              </w:rPr>
            </w:pPr>
            <w:r>
              <w:rPr>
                <w:rFonts w:ascii="Cambria" w:hAnsi="Cambria" w:cs="Times New Roman"/>
                <w:color w:val="060606"/>
              </w:rPr>
              <w:t>Advancing HSU’s vision</w:t>
            </w:r>
          </w:p>
        </w:tc>
      </w:tr>
      <w:tr w:rsidR="00D3532F" w14:paraId="34B700AE" w14:textId="77777777" w:rsidTr="00D3532F">
        <w:tc>
          <w:tcPr>
            <w:tcW w:w="2952" w:type="dxa"/>
          </w:tcPr>
          <w:p w14:paraId="642A4747" w14:textId="32707723" w:rsidR="00D3532F" w:rsidRDefault="00D3532F" w:rsidP="006D52BE">
            <w:pPr>
              <w:widowControl w:val="0"/>
              <w:autoSpaceDE w:val="0"/>
              <w:autoSpaceDN w:val="0"/>
              <w:adjustRightInd w:val="0"/>
              <w:spacing w:after="240"/>
              <w:contextualSpacing/>
              <w:rPr>
                <w:rFonts w:ascii="Cambria" w:hAnsi="Cambria" w:cs="Times New Roman"/>
                <w:color w:val="060606"/>
              </w:rPr>
            </w:pPr>
            <w:r>
              <w:rPr>
                <w:rFonts w:ascii="Cambria" w:hAnsi="Cambria" w:cs="Times New Roman"/>
                <w:color w:val="060606"/>
              </w:rPr>
              <w:t>Fiscal resources and processes</w:t>
            </w:r>
          </w:p>
        </w:tc>
        <w:tc>
          <w:tcPr>
            <w:tcW w:w="2952" w:type="dxa"/>
          </w:tcPr>
          <w:p w14:paraId="44FD4AF4" w14:textId="710AAF35" w:rsidR="00D3532F" w:rsidRDefault="00D3532F" w:rsidP="006D52BE">
            <w:pPr>
              <w:widowControl w:val="0"/>
              <w:autoSpaceDE w:val="0"/>
              <w:autoSpaceDN w:val="0"/>
              <w:adjustRightInd w:val="0"/>
              <w:spacing w:after="240"/>
              <w:contextualSpacing/>
              <w:rPr>
                <w:rFonts w:ascii="Cambria" w:hAnsi="Cambria" w:cs="Times New Roman"/>
                <w:color w:val="060606"/>
              </w:rPr>
            </w:pPr>
            <w:r>
              <w:rPr>
                <w:rFonts w:ascii="Cambria" w:hAnsi="Cambria" w:cs="Times New Roman"/>
                <w:color w:val="060606"/>
              </w:rPr>
              <w:t>Collegial, respectful, and responsive community</w:t>
            </w:r>
          </w:p>
        </w:tc>
        <w:tc>
          <w:tcPr>
            <w:tcW w:w="2952" w:type="dxa"/>
          </w:tcPr>
          <w:p w14:paraId="44315C84" w14:textId="77777777" w:rsidR="00D3532F" w:rsidRDefault="00D3532F" w:rsidP="006D52BE">
            <w:pPr>
              <w:widowControl w:val="0"/>
              <w:autoSpaceDE w:val="0"/>
              <w:autoSpaceDN w:val="0"/>
              <w:adjustRightInd w:val="0"/>
              <w:spacing w:after="240"/>
              <w:contextualSpacing/>
              <w:rPr>
                <w:rFonts w:ascii="Cambria" w:hAnsi="Cambria" w:cs="Times New Roman"/>
                <w:color w:val="060606"/>
              </w:rPr>
            </w:pPr>
          </w:p>
        </w:tc>
      </w:tr>
      <w:tr w:rsidR="00D3532F" w14:paraId="6F45C498" w14:textId="77777777" w:rsidTr="00D3532F">
        <w:tc>
          <w:tcPr>
            <w:tcW w:w="2952" w:type="dxa"/>
          </w:tcPr>
          <w:p w14:paraId="6BA1ED0C" w14:textId="3466A61A" w:rsidR="00D3532F" w:rsidRDefault="00D3532F" w:rsidP="006D52BE">
            <w:pPr>
              <w:widowControl w:val="0"/>
              <w:autoSpaceDE w:val="0"/>
              <w:autoSpaceDN w:val="0"/>
              <w:adjustRightInd w:val="0"/>
              <w:spacing w:after="240"/>
              <w:contextualSpacing/>
              <w:rPr>
                <w:rFonts w:ascii="Cambria" w:hAnsi="Cambria" w:cs="Times New Roman"/>
                <w:color w:val="060606"/>
              </w:rPr>
            </w:pPr>
            <w:r>
              <w:rPr>
                <w:rFonts w:ascii="Cambria" w:hAnsi="Cambria" w:cs="Times New Roman"/>
                <w:color w:val="060606"/>
              </w:rPr>
              <w:t>Infrastructure</w:t>
            </w:r>
          </w:p>
        </w:tc>
        <w:tc>
          <w:tcPr>
            <w:tcW w:w="2952" w:type="dxa"/>
          </w:tcPr>
          <w:p w14:paraId="3E0FDD65" w14:textId="56490BD3" w:rsidR="00D3532F" w:rsidRDefault="00D3532F" w:rsidP="006D52BE">
            <w:pPr>
              <w:widowControl w:val="0"/>
              <w:autoSpaceDE w:val="0"/>
              <w:autoSpaceDN w:val="0"/>
              <w:adjustRightInd w:val="0"/>
              <w:spacing w:after="240"/>
              <w:contextualSpacing/>
              <w:rPr>
                <w:rFonts w:ascii="Cambria" w:hAnsi="Cambria" w:cs="Times New Roman"/>
                <w:color w:val="060606"/>
              </w:rPr>
            </w:pPr>
            <w:r>
              <w:rPr>
                <w:rFonts w:ascii="Cambria" w:hAnsi="Cambria" w:cs="Times New Roman"/>
                <w:color w:val="060606"/>
              </w:rPr>
              <w:t>Cultivate evidence-based decision-making</w:t>
            </w:r>
          </w:p>
        </w:tc>
        <w:tc>
          <w:tcPr>
            <w:tcW w:w="2952" w:type="dxa"/>
          </w:tcPr>
          <w:p w14:paraId="01AD453C" w14:textId="77777777" w:rsidR="00D3532F" w:rsidRDefault="00D3532F" w:rsidP="006D52BE">
            <w:pPr>
              <w:widowControl w:val="0"/>
              <w:autoSpaceDE w:val="0"/>
              <w:autoSpaceDN w:val="0"/>
              <w:adjustRightInd w:val="0"/>
              <w:spacing w:after="240"/>
              <w:contextualSpacing/>
              <w:rPr>
                <w:rFonts w:ascii="Cambria" w:hAnsi="Cambria" w:cs="Times New Roman"/>
                <w:color w:val="060606"/>
              </w:rPr>
            </w:pPr>
          </w:p>
        </w:tc>
      </w:tr>
      <w:tr w:rsidR="00D3532F" w14:paraId="111D24B9" w14:textId="77777777" w:rsidTr="00D3532F">
        <w:tc>
          <w:tcPr>
            <w:tcW w:w="2952" w:type="dxa"/>
          </w:tcPr>
          <w:p w14:paraId="6293E518" w14:textId="0B25637F" w:rsidR="00D3532F" w:rsidRDefault="00D3532F" w:rsidP="006D52BE">
            <w:pPr>
              <w:widowControl w:val="0"/>
              <w:autoSpaceDE w:val="0"/>
              <w:autoSpaceDN w:val="0"/>
              <w:adjustRightInd w:val="0"/>
              <w:spacing w:after="240"/>
              <w:contextualSpacing/>
              <w:rPr>
                <w:rFonts w:ascii="Cambria" w:hAnsi="Cambria" w:cs="Times New Roman"/>
                <w:color w:val="060606"/>
              </w:rPr>
            </w:pPr>
            <w:r>
              <w:rPr>
                <w:rFonts w:ascii="Cambria" w:hAnsi="Cambria" w:cs="Times New Roman"/>
                <w:color w:val="060606"/>
              </w:rPr>
              <w:t>Intellectual underpinnings</w:t>
            </w:r>
          </w:p>
        </w:tc>
        <w:tc>
          <w:tcPr>
            <w:tcW w:w="2952" w:type="dxa"/>
          </w:tcPr>
          <w:p w14:paraId="5EC8AD72" w14:textId="77777777" w:rsidR="00D3532F" w:rsidRDefault="00D3532F" w:rsidP="006D52BE">
            <w:pPr>
              <w:widowControl w:val="0"/>
              <w:autoSpaceDE w:val="0"/>
              <w:autoSpaceDN w:val="0"/>
              <w:adjustRightInd w:val="0"/>
              <w:spacing w:after="240"/>
              <w:contextualSpacing/>
              <w:rPr>
                <w:rFonts w:ascii="Cambria" w:hAnsi="Cambria" w:cs="Times New Roman"/>
                <w:color w:val="060606"/>
              </w:rPr>
            </w:pPr>
          </w:p>
        </w:tc>
        <w:tc>
          <w:tcPr>
            <w:tcW w:w="2952" w:type="dxa"/>
          </w:tcPr>
          <w:p w14:paraId="53B2E58D" w14:textId="77777777" w:rsidR="00D3532F" w:rsidRDefault="00D3532F" w:rsidP="006D52BE">
            <w:pPr>
              <w:widowControl w:val="0"/>
              <w:autoSpaceDE w:val="0"/>
              <w:autoSpaceDN w:val="0"/>
              <w:adjustRightInd w:val="0"/>
              <w:spacing w:after="240"/>
              <w:contextualSpacing/>
              <w:rPr>
                <w:rFonts w:ascii="Cambria" w:hAnsi="Cambria" w:cs="Times New Roman"/>
                <w:color w:val="060606"/>
              </w:rPr>
            </w:pPr>
          </w:p>
        </w:tc>
      </w:tr>
    </w:tbl>
    <w:p w14:paraId="678384EC" w14:textId="77777777" w:rsidR="007B7BE4" w:rsidRDefault="007B7BE4" w:rsidP="006D52BE">
      <w:pPr>
        <w:widowControl w:val="0"/>
        <w:autoSpaceDE w:val="0"/>
        <w:autoSpaceDN w:val="0"/>
        <w:adjustRightInd w:val="0"/>
        <w:spacing w:after="240"/>
        <w:contextualSpacing/>
        <w:rPr>
          <w:rFonts w:ascii="Cambria" w:hAnsi="Cambria" w:cs="Times New Roman"/>
          <w:color w:val="060606"/>
        </w:rPr>
      </w:pPr>
    </w:p>
    <w:p w14:paraId="4B043B04" w14:textId="77777777" w:rsidR="005C2070" w:rsidRDefault="005C2070" w:rsidP="00FD4FD5">
      <w:pPr>
        <w:widowControl w:val="0"/>
        <w:autoSpaceDE w:val="0"/>
        <w:autoSpaceDN w:val="0"/>
        <w:adjustRightInd w:val="0"/>
        <w:spacing w:after="240"/>
        <w:contextualSpacing/>
        <w:rPr>
          <w:rFonts w:cs="Times New Roman"/>
          <w:b/>
          <w:i/>
          <w:color w:val="060606"/>
        </w:rPr>
      </w:pPr>
    </w:p>
    <w:p w14:paraId="738B8400" w14:textId="77777777" w:rsidR="00FD4FD5" w:rsidRDefault="008078EF" w:rsidP="00FD4FD5">
      <w:pPr>
        <w:widowControl w:val="0"/>
        <w:autoSpaceDE w:val="0"/>
        <w:autoSpaceDN w:val="0"/>
        <w:adjustRightInd w:val="0"/>
        <w:spacing w:after="240"/>
        <w:contextualSpacing/>
        <w:rPr>
          <w:rFonts w:cs="Times New Roman"/>
          <w:b/>
          <w:i/>
          <w:color w:val="060606"/>
        </w:rPr>
      </w:pPr>
      <w:r w:rsidRPr="00FD4FD5">
        <w:rPr>
          <w:rFonts w:cs="Times New Roman"/>
          <w:b/>
          <w:i/>
          <w:color w:val="060606"/>
        </w:rPr>
        <w:lastRenderedPageBreak/>
        <w:t>Structure</w:t>
      </w:r>
    </w:p>
    <w:p w14:paraId="56FC81B3" w14:textId="77777777" w:rsidR="008E2DBA" w:rsidRDefault="008E2DBA" w:rsidP="00FD4FD5">
      <w:pPr>
        <w:widowControl w:val="0"/>
        <w:autoSpaceDE w:val="0"/>
        <w:autoSpaceDN w:val="0"/>
        <w:adjustRightInd w:val="0"/>
        <w:spacing w:after="240"/>
        <w:contextualSpacing/>
        <w:rPr>
          <w:rFonts w:cs="Times New Roman"/>
          <w:b/>
          <w:i/>
          <w:color w:val="060606"/>
        </w:rPr>
      </w:pPr>
    </w:p>
    <w:p w14:paraId="4598172B" w14:textId="5B18438D" w:rsidR="002C55B0" w:rsidRPr="008E2DBA" w:rsidRDefault="0079014C" w:rsidP="008E2DBA">
      <w:pPr>
        <w:widowControl w:val="0"/>
        <w:autoSpaceDE w:val="0"/>
        <w:autoSpaceDN w:val="0"/>
        <w:adjustRightInd w:val="0"/>
        <w:spacing w:after="240"/>
        <w:ind w:firstLine="720"/>
        <w:rPr>
          <w:rFonts w:cs="Times New Roman"/>
          <w:color w:val="060606"/>
        </w:rPr>
      </w:pPr>
      <w:r>
        <w:rPr>
          <w:rFonts w:cs="Times New Roman"/>
          <w:color w:val="060606"/>
        </w:rPr>
        <w:t xml:space="preserve">The initial structure will be organized around </w:t>
      </w:r>
      <w:r w:rsidR="007B7BE4">
        <w:rPr>
          <w:rFonts w:cs="Times New Roman"/>
          <w:color w:val="060606"/>
        </w:rPr>
        <w:t>a</w:t>
      </w:r>
      <w:r>
        <w:rPr>
          <w:rFonts w:cs="Times New Roman"/>
          <w:color w:val="060606"/>
        </w:rPr>
        <w:t xml:space="preserve"> </w:t>
      </w:r>
      <w:r w:rsidR="007B7BE4">
        <w:rPr>
          <w:rFonts w:cs="Times New Roman"/>
          <w:color w:val="060606"/>
        </w:rPr>
        <w:t>steering committee and three task forces.</w:t>
      </w:r>
      <w:r>
        <w:rPr>
          <w:rFonts w:cs="Times New Roman"/>
          <w:noProof/>
          <w:color w:val="060606"/>
        </w:rPr>
        <w:drawing>
          <wp:inline distT="0" distB="0" distL="0" distR="0" wp14:anchorId="3A66947A" wp14:editId="30E2584D">
            <wp:extent cx="5486400" cy="2981325"/>
            <wp:effectExtent l="76200" t="0" r="952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7B7BE4" w:rsidRPr="00FD4FD5">
        <w:rPr>
          <w:rFonts w:ascii="Cambria" w:hAnsi="Cambria"/>
          <w:b/>
          <w:i/>
        </w:rPr>
        <w:t>Strategic Planning Steering Committee</w:t>
      </w:r>
    </w:p>
    <w:p w14:paraId="77C84DE1" w14:textId="59C967D8" w:rsidR="00696FE8" w:rsidRDefault="00696FE8" w:rsidP="00FD4FD5">
      <w:pPr>
        <w:ind w:firstLine="720"/>
        <w:contextualSpacing/>
        <w:rPr>
          <w:rFonts w:ascii="Cambria" w:hAnsi="Cambria"/>
        </w:rPr>
      </w:pPr>
      <w:r>
        <w:rPr>
          <w:rFonts w:ascii="Cambria" w:hAnsi="Cambria"/>
        </w:rPr>
        <w:t xml:space="preserve">The Steering Committee will include the chairs of </w:t>
      </w:r>
      <w:r w:rsidR="00E25FCC">
        <w:rPr>
          <w:rFonts w:ascii="Cambria" w:hAnsi="Cambria"/>
        </w:rPr>
        <w:t xml:space="preserve">standing </w:t>
      </w:r>
      <w:r>
        <w:rPr>
          <w:rFonts w:ascii="Cambria" w:hAnsi="Cambria"/>
        </w:rPr>
        <w:t>committees in the University Senate and draw from the shared-governance structure of HSU.</w:t>
      </w:r>
    </w:p>
    <w:p w14:paraId="4CE450DD" w14:textId="77777777" w:rsidR="008E2DBA" w:rsidRDefault="008E2DBA" w:rsidP="00FD4FD5">
      <w:pPr>
        <w:ind w:firstLine="720"/>
        <w:contextualSpacing/>
        <w:rPr>
          <w:rFonts w:ascii="Cambria" w:hAnsi="Cambria"/>
        </w:rPr>
      </w:pPr>
    </w:p>
    <w:p w14:paraId="16F8B7DA" w14:textId="7B2C01EF" w:rsidR="007B7BE4" w:rsidRDefault="007B7BE4" w:rsidP="006D52BE">
      <w:pPr>
        <w:contextualSpacing/>
        <w:rPr>
          <w:rFonts w:ascii="Cambria" w:hAnsi="Cambria"/>
        </w:rPr>
      </w:pPr>
      <w:r>
        <w:rPr>
          <w:rFonts w:ascii="Cambria" w:hAnsi="Cambria"/>
        </w:rPr>
        <w:tab/>
        <w:t>Composition:</w:t>
      </w:r>
    </w:p>
    <w:p w14:paraId="79DD5BBD" w14:textId="18B1CB8E" w:rsidR="00E26922" w:rsidRPr="00E26922" w:rsidRDefault="00E26922" w:rsidP="006D52BE">
      <w:pPr>
        <w:contextualSpacing/>
        <w:rPr>
          <w:rFonts w:ascii="Cambria" w:hAnsi="Cambria"/>
          <w:i/>
        </w:rPr>
      </w:pPr>
      <w:r>
        <w:rPr>
          <w:rFonts w:ascii="Cambria" w:hAnsi="Cambria"/>
          <w:i/>
        </w:rPr>
        <w:tab/>
        <w:t xml:space="preserve">     </w:t>
      </w:r>
      <w:r w:rsidRPr="00E26922">
        <w:rPr>
          <w:rFonts w:ascii="Cambria" w:hAnsi="Cambria"/>
          <w:i/>
        </w:rPr>
        <w:t>Admin support Kay Libolt</w:t>
      </w:r>
    </w:p>
    <w:p w14:paraId="71D45E21" w14:textId="2FF7D15A" w:rsidR="007B7BE4" w:rsidRDefault="007B7BE4" w:rsidP="007B7BE4">
      <w:pPr>
        <w:ind w:left="1440" w:hanging="450"/>
        <w:contextualSpacing/>
        <w:rPr>
          <w:rFonts w:ascii="Cambria" w:hAnsi="Cambria"/>
        </w:rPr>
      </w:pPr>
      <w:r>
        <w:rPr>
          <w:rFonts w:ascii="Cambria" w:hAnsi="Cambria"/>
        </w:rPr>
        <w:t xml:space="preserve">Noah Zerbe (co-chair), </w:t>
      </w:r>
      <w:r w:rsidR="00696FE8">
        <w:rPr>
          <w:rFonts w:ascii="Cambria" w:hAnsi="Cambria"/>
        </w:rPr>
        <w:t>Chair, University Senate, and Chair</w:t>
      </w:r>
      <w:r>
        <w:rPr>
          <w:rFonts w:ascii="Cambria" w:hAnsi="Cambria"/>
        </w:rPr>
        <w:t xml:space="preserve"> and Professor of Politics </w:t>
      </w:r>
    </w:p>
    <w:p w14:paraId="014B332B" w14:textId="51274076" w:rsidR="007B7BE4" w:rsidRDefault="007B7BE4" w:rsidP="007B7BE4">
      <w:pPr>
        <w:ind w:left="1440" w:hanging="450"/>
        <w:contextualSpacing/>
        <w:rPr>
          <w:rFonts w:ascii="Cambria" w:hAnsi="Cambria"/>
        </w:rPr>
      </w:pPr>
      <w:r>
        <w:rPr>
          <w:rFonts w:ascii="Cambria" w:hAnsi="Cambria"/>
        </w:rPr>
        <w:t>Lisa A. Rossbacher (co-chair), President</w:t>
      </w:r>
    </w:p>
    <w:p w14:paraId="76625C68" w14:textId="77777777" w:rsidR="008E2DBA" w:rsidRDefault="007B7BE4" w:rsidP="006D52BE">
      <w:pPr>
        <w:contextualSpacing/>
        <w:rPr>
          <w:rFonts w:ascii="Cambria" w:hAnsi="Cambria"/>
        </w:rPr>
      </w:pPr>
      <w:r>
        <w:rPr>
          <w:rFonts w:ascii="Cambria" w:hAnsi="Cambria"/>
        </w:rPr>
        <w:tab/>
      </w:r>
    </w:p>
    <w:p w14:paraId="6A00B5BF" w14:textId="36800B33" w:rsidR="007B7BE4" w:rsidRDefault="007B7BE4" w:rsidP="008E2DBA">
      <w:pPr>
        <w:ind w:firstLine="720"/>
        <w:contextualSpacing/>
        <w:rPr>
          <w:rFonts w:ascii="Cambria" w:hAnsi="Cambria"/>
        </w:rPr>
      </w:pPr>
      <w:r>
        <w:rPr>
          <w:rFonts w:ascii="Cambria" w:hAnsi="Cambria"/>
        </w:rPr>
        <w:t>Charge</w:t>
      </w:r>
      <w:r w:rsidR="00696FE8">
        <w:rPr>
          <w:rFonts w:ascii="Cambria" w:hAnsi="Cambria"/>
        </w:rPr>
        <w:t xml:space="preserve">:  </w:t>
      </w:r>
      <w:r w:rsidR="00D3532F">
        <w:rPr>
          <w:rFonts w:ascii="Cambria" w:hAnsi="Cambria"/>
        </w:rPr>
        <w:t xml:space="preserve">The Strategic Planning Steering Committee will be responsible for </w:t>
      </w:r>
      <w:r w:rsidR="00FD4FD5">
        <w:rPr>
          <w:rFonts w:ascii="Cambria" w:hAnsi="Cambria"/>
        </w:rPr>
        <w:t>overseeing the planning process</w:t>
      </w:r>
      <w:r w:rsidR="0036399D">
        <w:rPr>
          <w:rFonts w:ascii="Cambria" w:hAnsi="Cambria"/>
        </w:rPr>
        <w:t xml:space="preserve">, coordinating and integrating the recommendations </w:t>
      </w:r>
      <w:r w:rsidR="0036399D">
        <w:rPr>
          <w:rFonts w:ascii="Cambria" w:hAnsi="Cambria"/>
        </w:rPr>
        <w:lastRenderedPageBreak/>
        <w:t>from the task forces into a final report, and assisting in keeping the University community informed about progress in the planning process.</w:t>
      </w:r>
    </w:p>
    <w:p w14:paraId="2C102688" w14:textId="77777777" w:rsidR="007B7BE4" w:rsidRDefault="007B7BE4" w:rsidP="006D52BE">
      <w:pPr>
        <w:contextualSpacing/>
        <w:rPr>
          <w:rFonts w:ascii="Cambria" w:hAnsi="Cambria"/>
        </w:rPr>
      </w:pPr>
    </w:p>
    <w:p w14:paraId="3AC65694" w14:textId="202CCC4B" w:rsidR="00FD4FD5" w:rsidRPr="00FD4FD5" w:rsidRDefault="00FD4FD5" w:rsidP="006D52BE">
      <w:pPr>
        <w:contextualSpacing/>
        <w:rPr>
          <w:rFonts w:ascii="Cambria" w:hAnsi="Cambria"/>
          <w:b/>
          <w:i/>
        </w:rPr>
      </w:pPr>
      <w:r w:rsidRPr="00FD4FD5">
        <w:rPr>
          <w:rFonts w:ascii="Cambria" w:hAnsi="Cambria"/>
          <w:b/>
          <w:i/>
        </w:rPr>
        <w:t xml:space="preserve">Overall charge to the </w:t>
      </w:r>
      <w:r w:rsidR="002F523B">
        <w:rPr>
          <w:rFonts w:ascii="Cambria" w:hAnsi="Cambria"/>
          <w:b/>
          <w:i/>
        </w:rPr>
        <w:t xml:space="preserve">Steering Committee and </w:t>
      </w:r>
      <w:r w:rsidRPr="00FD4FD5">
        <w:rPr>
          <w:rFonts w:ascii="Cambria" w:hAnsi="Cambria"/>
          <w:b/>
          <w:i/>
        </w:rPr>
        <w:t>Task Forces:</w:t>
      </w:r>
    </w:p>
    <w:p w14:paraId="654D71EE" w14:textId="77777777" w:rsidR="00FD4FD5" w:rsidRDefault="00FD4FD5" w:rsidP="006D52BE">
      <w:pPr>
        <w:contextualSpacing/>
        <w:rPr>
          <w:rFonts w:ascii="Cambria" w:hAnsi="Cambria"/>
        </w:rPr>
      </w:pPr>
    </w:p>
    <w:p w14:paraId="36C9EEC8" w14:textId="7C3A4900" w:rsidR="00FD4FD5" w:rsidRDefault="00FD4FD5" w:rsidP="006D52BE">
      <w:pPr>
        <w:contextualSpacing/>
        <w:rPr>
          <w:rFonts w:ascii="Cambria" w:hAnsi="Cambria"/>
        </w:rPr>
      </w:pPr>
      <w:r>
        <w:rPr>
          <w:rFonts w:ascii="Cambria" w:hAnsi="Cambria"/>
        </w:rPr>
        <w:t>Humboldt State University has evolved over the last 100 years – and pa</w:t>
      </w:r>
      <w:r w:rsidR="0036399D">
        <w:rPr>
          <w:rFonts w:ascii="Cambria" w:hAnsi="Cambria"/>
        </w:rPr>
        <w:t>rticularly over the last decade –</w:t>
      </w:r>
      <w:r>
        <w:rPr>
          <w:rFonts w:ascii="Cambria" w:hAnsi="Cambria"/>
        </w:rPr>
        <w:t xml:space="preserve"> into an institution that is known for the high quality of its academic programs, the diversity of its student population, its connection with the surrounding environment, and the balance of sciences, arts</w:t>
      </w:r>
      <w:r w:rsidR="0036399D">
        <w:rPr>
          <w:rFonts w:ascii="Cambria" w:hAnsi="Cambria"/>
        </w:rPr>
        <w:t>,</w:t>
      </w:r>
      <w:r>
        <w:rPr>
          <w:rFonts w:ascii="Cambria" w:hAnsi="Cambria"/>
        </w:rPr>
        <w:t xml:space="preserve"> and professional programs.  As the University begins its </w:t>
      </w:r>
      <w:r w:rsidR="0036399D">
        <w:rPr>
          <w:rFonts w:ascii="Cambria" w:hAnsi="Cambria"/>
        </w:rPr>
        <w:t>second</w:t>
      </w:r>
      <w:r>
        <w:rPr>
          <w:rFonts w:ascii="Cambria" w:hAnsi="Cambria"/>
        </w:rPr>
        <w:t xml:space="preserve"> century, the time is right to develop and articulate a shared direction for the University’s future.</w:t>
      </w:r>
    </w:p>
    <w:p w14:paraId="5FC8C673" w14:textId="77777777" w:rsidR="00FD4FD5" w:rsidRDefault="00FD4FD5" w:rsidP="006D52BE">
      <w:pPr>
        <w:contextualSpacing/>
        <w:rPr>
          <w:rFonts w:ascii="Cambria" w:hAnsi="Cambria"/>
        </w:rPr>
      </w:pPr>
    </w:p>
    <w:p w14:paraId="1569116B" w14:textId="6756BEE8" w:rsidR="00FD4FD5" w:rsidRDefault="00FD4FD5" w:rsidP="006D52BE">
      <w:pPr>
        <w:contextualSpacing/>
        <w:rPr>
          <w:rFonts w:ascii="Cambria" w:hAnsi="Cambria"/>
        </w:rPr>
      </w:pPr>
      <w:r>
        <w:rPr>
          <w:rFonts w:ascii="Cambria" w:hAnsi="Cambria"/>
        </w:rPr>
        <w:t>The planning process will</w:t>
      </w:r>
      <w:r w:rsidR="002F523B">
        <w:rPr>
          <w:rFonts w:ascii="Cambria" w:hAnsi="Cambria"/>
        </w:rPr>
        <w:t xml:space="preserve"> incorporate the work of a steering committee and three task forces, with associated working groups, as needed.  The three major areas of focus are:  </w:t>
      </w:r>
    </w:p>
    <w:p w14:paraId="05E6C83D" w14:textId="586D092F" w:rsidR="002F523B" w:rsidRPr="002F523B" w:rsidRDefault="002F523B" w:rsidP="002F523B">
      <w:pPr>
        <w:pStyle w:val="ListParagraph"/>
        <w:numPr>
          <w:ilvl w:val="0"/>
          <w:numId w:val="7"/>
        </w:numPr>
        <w:rPr>
          <w:rFonts w:ascii="Cambria" w:hAnsi="Cambria"/>
        </w:rPr>
      </w:pPr>
      <w:r w:rsidRPr="002F523B">
        <w:rPr>
          <w:rFonts w:ascii="Cambria" w:hAnsi="Cambria"/>
        </w:rPr>
        <w:t>Increasing student success and academic excellence;</w:t>
      </w:r>
    </w:p>
    <w:p w14:paraId="6DCAAB83" w14:textId="303ABCE2" w:rsidR="002F523B" w:rsidRPr="002F523B" w:rsidRDefault="002F523B" w:rsidP="002F523B">
      <w:pPr>
        <w:pStyle w:val="ListParagraph"/>
        <w:numPr>
          <w:ilvl w:val="0"/>
          <w:numId w:val="7"/>
        </w:numPr>
        <w:rPr>
          <w:rFonts w:ascii="Cambria" w:hAnsi="Cambria"/>
        </w:rPr>
      </w:pPr>
      <w:r w:rsidRPr="002F523B">
        <w:rPr>
          <w:rFonts w:ascii="Cambria" w:hAnsi="Cambria"/>
        </w:rPr>
        <w:t>Ensuring resources to fulfill the University’s mission; and</w:t>
      </w:r>
    </w:p>
    <w:p w14:paraId="6A063D2B" w14:textId="0C856149" w:rsidR="002F523B" w:rsidRPr="002F523B" w:rsidRDefault="002F523B" w:rsidP="002F523B">
      <w:pPr>
        <w:pStyle w:val="ListParagraph"/>
        <w:numPr>
          <w:ilvl w:val="0"/>
          <w:numId w:val="7"/>
        </w:numPr>
        <w:rPr>
          <w:rFonts w:ascii="Cambria" w:hAnsi="Cambria"/>
        </w:rPr>
      </w:pPr>
      <w:r w:rsidRPr="002F523B">
        <w:rPr>
          <w:rFonts w:ascii="Cambria" w:hAnsi="Cambria"/>
        </w:rPr>
        <w:t>Supporting an inclusive and diverse community.</w:t>
      </w:r>
    </w:p>
    <w:p w14:paraId="65F43977" w14:textId="77777777" w:rsidR="00FD4FD5" w:rsidRDefault="00FD4FD5" w:rsidP="006D52BE">
      <w:pPr>
        <w:contextualSpacing/>
        <w:rPr>
          <w:rFonts w:ascii="Cambria" w:hAnsi="Cambria"/>
        </w:rPr>
      </w:pPr>
    </w:p>
    <w:p w14:paraId="3F66434A" w14:textId="28AB466E" w:rsidR="002F523B" w:rsidRDefault="002F523B" w:rsidP="006D52BE">
      <w:pPr>
        <w:contextualSpacing/>
        <w:rPr>
          <w:rFonts w:ascii="Cambria" w:hAnsi="Cambria"/>
        </w:rPr>
      </w:pPr>
      <w:r>
        <w:rPr>
          <w:rFonts w:ascii="Cambria" w:hAnsi="Cambria"/>
        </w:rPr>
        <w:t>The Steering Committee will be responsible for the overall planning process, including the preparation of the final version of the strategic plan.  This group will integrate the recommendations of the task forces, prioritize the recommended initiatives, assess the financial needs to implement the plan, and consider ways to fund strategic initiatives.</w:t>
      </w:r>
    </w:p>
    <w:p w14:paraId="1E3D6AB4" w14:textId="77777777" w:rsidR="002F523B" w:rsidRDefault="002F523B" w:rsidP="006D52BE">
      <w:pPr>
        <w:contextualSpacing/>
        <w:rPr>
          <w:rFonts w:ascii="Cambria" w:hAnsi="Cambria"/>
        </w:rPr>
      </w:pPr>
    </w:p>
    <w:p w14:paraId="0740B055" w14:textId="6C8AD941" w:rsidR="002F523B" w:rsidRDefault="0036399D" w:rsidP="006D52BE">
      <w:pPr>
        <w:contextualSpacing/>
        <w:rPr>
          <w:rFonts w:ascii="Cambria" w:hAnsi="Cambria"/>
        </w:rPr>
      </w:pPr>
      <w:r>
        <w:rPr>
          <w:rFonts w:ascii="Cambria" w:hAnsi="Cambria"/>
        </w:rPr>
        <w:t>The t</w:t>
      </w:r>
      <w:r w:rsidR="002F523B">
        <w:rPr>
          <w:rFonts w:ascii="Cambria" w:hAnsi="Cambria"/>
        </w:rPr>
        <w:t>ask force</w:t>
      </w:r>
      <w:r>
        <w:rPr>
          <w:rFonts w:ascii="Cambria" w:hAnsi="Cambria"/>
        </w:rPr>
        <w:t>s</w:t>
      </w:r>
      <w:r w:rsidR="002F523B">
        <w:rPr>
          <w:rFonts w:ascii="Cambria" w:hAnsi="Cambria"/>
        </w:rPr>
        <w:t xml:space="preserve"> will be responsible for identifying specific objectives and initiatives to pursue </w:t>
      </w:r>
      <w:r>
        <w:rPr>
          <w:rFonts w:ascii="Cambria" w:hAnsi="Cambria"/>
        </w:rPr>
        <w:t xml:space="preserve">the </w:t>
      </w:r>
      <w:r w:rsidR="002F523B">
        <w:rPr>
          <w:rFonts w:ascii="Cambria" w:hAnsi="Cambria"/>
        </w:rPr>
        <w:t>strategic goal</w:t>
      </w:r>
      <w:r>
        <w:rPr>
          <w:rFonts w:ascii="Cambria" w:hAnsi="Cambria"/>
        </w:rPr>
        <w:t>s</w:t>
      </w:r>
      <w:r w:rsidR="002F523B">
        <w:rPr>
          <w:rFonts w:ascii="Cambria" w:hAnsi="Cambria"/>
        </w:rPr>
        <w:t>, determining the necessary resource requirements, proposing priorities, and recommending responsible individuals and timelines for next steps.</w:t>
      </w:r>
      <w:r w:rsidR="00876446">
        <w:rPr>
          <w:rFonts w:ascii="Cambria" w:hAnsi="Cambria"/>
        </w:rPr>
        <w:t xml:space="preserve"> </w:t>
      </w:r>
    </w:p>
    <w:p w14:paraId="26391E62" w14:textId="77777777" w:rsidR="0089101F" w:rsidRDefault="0089101F" w:rsidP="006D52BE">
      <w:pPr>
        <w:contextualSpacing/>
        <w:rPr>
          <w:rFonts w:ascii="Cambria" w:hAnsi="Cambria"/>
        </w:rPr>
      </w:pPr>
    </w:p>
    <w:p w14:paraId="784F6FAA" w14:textId="529705C7" w:rsidR="0089101F" w:rsidRDefault="0089101F" w:rsidP="006D52BE">
      <w:pPr>
        <w:contextualSpacing/>
        <w:rPr>
          <w:rFonts w:ascii="Cambria" w:hAnsi="Cambria"/>
        </w:rPr>
      </w:pPr>
      <w:r>
        <w:rPr>
          <w:rFonts w:ascii="Cambria" w:hAnsi="Cambria"/>
        </w:rPr>
        <w:t xml:space="preserve">Engaging the University community is a high priority, and the Steering Committee and each Task Force should hold at least one open forum to collect comments and opinions from faculty, staff, students, alumni, and other supporters.  Members of the University community should also be invited to provide written suggestions to the committee and task force chairs.  All written reports and recommendations from the task forces </w:t>
      </w:r>
      <w:r w:rsidR="0036399D">
        <w:rPr>
          <w:rFonts w:ascii="Cambria" w:hAnsi="Cambria"/>
        </w:rPr>
        <w:t>will</w:t>
      </w:r>
      <w:r>
        <w:rPr>
          <w:rFonts w:ascii="Cambria" w:hAnsi="Cambria"/>
        </w:rPr>
        <w:t xml:space="preserve"> be posted, in draft format, on the strategic planning website, and members of the community </w:t>
      </w:r>
      <w:r w:rsidR="0036399D">
        <w:rPr>
          <w:rFonts w:ascii="Cambria" w:hAnsi="Cambria"/>
        </w:rPr>
        <w:t>will</w:t>
      </w:r>
      <w:r>
        <w:rPr>
          <w:rFonts w:ascii="Cambria" w:hAnsi="Cambria"/>
        </w:rPr>
        <w:t xml:space="preserve"> be invited to comment prior to the completion of any report.</w:t>
      </w:r>
    </w:p>
    <w:p w14:paraId="406A37DD" w14:textId="77777777" w:rsidR="0089101F" w:rsidRDefault="0089101F" w:rsidP="006D52BE">
      <w:pPr>
        <w:contextualSpacing/>
        <w:rPr>
          <w:rFonts w:ascii="Cambria" w:hAnsi="Cambria"/>
        </w:rPr>
      </w:pPr>
    </w:p>
    <w:p w14:paraId="52EE574F" w14:textId="111344E7" w:rsidR="0089101F" w:rsidRDefault="0089101F" w:rsidP="0089101F">
      <w:pPr>
        <w:rPr>
          <w:rFonts w:ascii="Cambria" w:hAnsi="Cambria"/>
        </w:rPr>
      </w:pPr>
      <w:r>
        <w:rPr>
          <w:rFonts w:ascii="Cambria" w:hAnsi="Cambria"/>
        </w:rPr>
        <w:t xml:space="preserve">Task Force reports should be sent to the Strategic Planning Steering Committee by February 27, 2015.  The reports </w:t>
      </w:r>
      <w:r w:rsidR="0036399D">
        <w:rPr>
          <w:rFonts w:ascii="Cambria" w:hAnsi="Cambria"/>
        </w:rPr>
        <w:t>are expected to</w:t>
      </w:r>
      <w:r>
        <w:rPr>
          <w:rFonts w:ascii="Cambria" w:hAnsi="Cambria"/>
        </w:rPr>
        <w:t xml:space="preserve"> be</w:t>
      </w:r>
      <w:r w:rsidR="006D1840">
        <w:rPr>
          <w:rFonts w:ascii="Cambria" w:hAnsi="Cambria"/>
        </w:rPr>
        <w:t xml:space="preserve"> between one and five pages in </w:t>
      </w:r>
      <w:r>
        <w:rPr>
          <w:rFonts w:ascii="Cambria" w:hAnsi="Cambria"/>
        </w:rPr>
        <w:t xml:space="preserve">length, and they should include background information on the issues, identified goals, recommended initiatives, and any resource requirements.  The Steering Committee will integrate the task force recommendations and financial plans. </w:t>
      </w:r>
    </w:p>
    <w:p w14:paraId="2533E43E" w14:textId="77777777" w:rsidR="0089101F" w:rsidRDefault="0089101F" w:rsidP="0089101F">
      <w:pPr>
        <w:rPr>
          <w:rFonts w:ascii="Cambria" w:hAnsi="Cambria"/>
        </w:rPr>
      </w:pPr>
    </w:p>
    <w:p w14:paraId="693A8276" w14:textId="77777777" w:rsidR="008E2DBA" w:rsidRDefault="008E2DBA" w:rsidP="0089101F">
      <w:pPr>
        <w:rPr>
          <w:rFonts w:ascii="Cambria" w:hAnsi="Cambria"/>
        </w:rPr>
      </w:pPr>
    </w:p>
    <w:p w14:paraId="52C7F43E" w14:textId="5E398A47" w:rsidR="0089101F" w:rsidRDefault="0089101F" w:rsidP="0089101F">
      <w:pPr>
        <w:rPr>
          <w:rFonts w:ascii="Cambria" w:hAnsi="Cambria"/>
        </w:rPr>
      </w:pPr>
      <w:r>
        <w:rPr>
          <w:rFonts w:ascii="Cambria" w:hAnsi="Cambria"/>
        </w:rPr>
        <w:t>This process will be invaluable in helping us make decisions about HSU’s future that will strengthen our community, increase our resources, and determine our own fate</w:t>
      </w:r>
      <w:r w:rsidR="0036399D">
        <w:rPr>
          <w:rFonts w:ascii="Cambria" w:hAnsi="Cambria"/>
        </w:rPr>
        <w:t>, in the context of our unique role within the California State University</w:t>
      </w:r>
      <w:r>
        <w:rPr>
          <w:rFonts w:ascii="Cambria" w:hAnsi="Cambria"/>
        </w:rPr>
        <w:t>.</w:t>
      </w:r>
    </w:p>
    <w:p w14:paraId="45EDE81C" w14:textId="77777777" w:rsidR="0089101F" w:rsidRDefault="0089101F" w:rsidP="006D52BE">
      <w:pPr>
        <w:contextualSpacing/>
        <w:rPr>
          <w:rFonts w:ascii="Cambria" w:hAnsi="Cambria"/>
        </w:rPr>
      </w:pPr>
    </w:p>
    <w:p w14:paraId="0E83945A" w14:textId="607AA254" w:rsidR="006D1840" w:rsidRDefault="006D1840" w:rsidP="006D1840">
      <w:pPr>
        <w:contextualSpacing/>
        <w:rPr>
          <w:rFonts w:ascii="Cambria" w:hAnsi="Cambria"/>
        </w:rPr>
      </w:pPr>
      <w:r>
        <w:rPr>
          <w:rFonts w:ascii="Cambria" w:hAnsi="Cambria"/>
        </w:rPr>
        <w:t>Each task force will be responsible for identifying goals and initiatives in the referenced area, determining the resource requirements of the goals and initiatives, and setting priorities among the recommended goals and initiatives.</w:t>
      </w:r>
    </w:p>
    <w:p w14:paraId="770B7B3C" w14:textId="77777777" w:rsidR="006D1840" w:rsidRDefault="006D1840" w:rsidP="006D52BE">
      <w:pPr>
        <w:contextualSpacing/>
        <w:rPr>
          <w:rFonts w:ascii="Cambria" w:hAnsi="Cambria"/>
        </w:rPr>
      </w:pPr>
    </w:p>
    <w:p w14:paraId="513050F0" w14:textId="77777777" w:rsidR="002F523B" w:rsidRDefault="002F523B" w:rsidP="006D52BE">
      <w:pPr>
        <w:contextualSpacing/>
        <w:rPr>
          <w:rFonts w:ascii="Cambria" w:hAnsi="Cambria"/>
        </w:rPr>
      </w:pPr>
    </w:p>
    <w:p w14:paraId="435FAEBB" w14:textId="77777777" w:rsidR="00280DD4" w:rsidRDefault="00280DD4" w:rsidP="006D52BE">
      <w:pPr>
        <w:contextualSpacing/>
        <w:rPr>
          <w:rFonts w:ascii="Cambria" w:hAnsi="Cambria"/>
          <w:b/>
          <w:i/>
        </w:rPr>
      </w:pPr>
    </w:p>
    <w:p w14:paraId="48BF07D6" w14:textId="77777777" w:rsidR="00280DD4" w:rsidRDefault="00280DD4" w:rsidP="006D52BE">
      <w:pPr>
        <w:contextualSpacing/>
        <w:rPr>
          <w:rFonts w:ascii="Cambria" w:hAnsi="Cambria"/>
          <w:b/>
          <w:i/>
        </w:rPr>
      </w:pPr>
    </w:p>
    <w:p w14:paraId="639C76A7" w14:textId="77777777" w:rsidR="00280DD4" w:rsidRDefault="00280DD4" w:rsidP="006D52BE">
      <w:pPr>
        <w:contextualSpacing/>
        <w:rPr>
          <w:rFonts w:ascii="Cambria" w:hAnsi="Cambria"/>
          <w:b/>
          <w:i/>
        </w:rPr>
      </w:pPr>
    </w:p>
    <w:p w14:paraId="02A2E7D5" w14:textId="1814E600" w:rsidR="007B7BE4" w:rsidRPr="002F523B" w:rsidRDefault="007B7BE4" w:rsidP="006D52BE">
      <w:pPr>
        <w:contextualSpacing/>
        <w:rPr>
          <w:rFonts w:ascii="Cambria" w:hAnsi="Cambria"/>
          <w:b/>
          <w:i/>
        </w:rPr>
      </w:pPr>
      <w:r w:rsidRPr="002F523B">
        <w:rPr>
          <w:rFonts w:ascii="Cambria" w:hAnsi="Cambria"/>
          <w:b/>
          <w:i/>
        </w:rPr>
        <w:t>Task Force on Increasing Student Success and Academic Excellence</w:t>
      </w:r>
    </w:p>
    <w:p w14:paraId="268A3111" w14:textId="77777777" w:rsidR="00B163BA" w:rsidRDefault="007B7BE4" w:rsidP="007B7BE4">
      <w:pPr>
        <w:contextualSpacing/>
        <w:rPr>
          <w:rFonts w:ascii="Cambria" w:hAnsi="Cambria"/>
        </w:rPr>
      </w:pPr>
      <w:r>
        <w:rPr>
          <w:rFonts w:ascii="Cambria" w:hAnsi="Cambria"/>
        </w:rPr>
        <w:tab/>
      </w:r>
    </w:p>
    <w:p w14:paraId="4DBC61A2" w14:textId="1E89193E" w:rsidR="007B7BE4" w:rsidRDefault="007B7BE4" w:rsidP="007B7BE4">
      <w:pPr>
        <w:contextualSpacing/>
        <w:rPr>
          <w:rFonts w:ascii="Cambria" w:hAnsi="Cambria"/>
        </w:rPr>
      </w:pPr>
      <w:r>
        <w:rPr>
          <w:rFonts w:ascii="Cambria" w:hAnsi="Cambria"/>
        </w:rPr>
        <w:t>Composition</w:t>
      </w:r>
      <w:r w:rsidR="00DB11B5">
        <w:rPr>
          <w:rFonts w:ascii="Cambria" w:hAnsi="Cambria"/>
        </w:rPr>
        <w:t>:</w:t>
      </w:r>
    </w:p>
    <w:p w14:paraId="28C12CDA" w14:textId="60B70A9E" w:rsidR="00B523DD" w:rsidRPr="009B43ED" w:rsidRDefault="00B523DD" w:rsidP="00B163BA">
      <w:pPr>
        <w:tabs>
          <w:tab w:val="left" w:pos="720"/>
        </w:tabs>
        <w:ind w:left="720"/>
        <w:rPr>
          <w:color w:val="FF0000"/>
        </w:rPr>
      </w:pPr>
      <w:r>
        <w:rPr>
          <w:i/>
        </w:rPr>
        <w:t>Admin</w:t>
      </w:r>
      <w:r w:rsidR="00B163BA">
        <w:rPr>
          <w:i/>
        </w:rPr>
        <w:t>istrative</w:t>
      </w:r>
      <w:r>
        <w:rPr>
          <w:i/>
        </w:rPr>
        <w:t xml:space="preserve"> support</w:t>
      </w:r>
      <w:r w:rsidR="00B163BA">
        <w:rPr>
          <w:i/>
        </w:rPr>
        <w:t>:</w:t>
      </w:r>
      <w:r>
        <w:rPr>
          <w:i/>
        </w:rPr>
        <w:t xml:space="preserve"> </w:t>
      </w:r>
      <w:r w:rsidR="00DC359E">
        <w:rPr>
          <w:i/>
        </w:rPr>
        <w:t>Paula Petersen</w:t>
      </w:r>
      <w:r>
        <w:rPr>
          <w:i/>
        </w:rPr>
        <w:t xml:space="preserve"> </w:t>
      </w:r>
    </w:p>
    <w:p w14:paraId="1981BAAD" w14:textId="258273C0" w:rsidR="00307C09" w:rsidRDefault="00307C09" w:rsidP="00B163BA">
      <w:pPr>
        <w:tabs>
          <w:tab w:val="left" w:pos="720"/>
        </w:tabs>
        <w:ind w:left="720"/>
      </w:pPr>
      <w:r>
        <w:t>Scott Paynton (co-chair), Associate Dean, CAHSS</w:t>
      </w:r>
    </w:p>
    <w:p w14:paraId="15E281F0" w14:textId="189F4207" w:rsidR="00B523DD" w:rsidRPr="008C7166" w:rsidRDefault="00B523DD" w:rsidP="00B163BA">
      <w:pPr>
        <w:tabs>
          <w:tab w:val="left" w:pos="720"/>
        </w:tabs>
        <w:ind w:left="720"/>
        <w:rPr>
          <w:color w:val="FF0000"/>
        </w:rPr>
      </w:pPr>
      <w:r>
        <w:t xml:space="preserve">Beth </w:t>
      </w:r>
      <w:proofErr w:type="spellStart"/>
      <w:r>
        <w:t>Eschenbach</w:t>
      </w:r>
      <w:proofErr w:type="spellEnd"/>
      <w:r w:rsidR="00307C09">
        <w:t xml:space="preserve"> (c</w:t>
      </w:r>
      <w:r>
        <w:t>o-</w:t>
      </w:r>
      <w:r w:rsidR="00307C09">
        <w:t>chair), Faculty Environmental Resources Engineering</w:t>
      </w:r>
      <w:r>
        <w:t xml:space="preserve"> </w:t>
      </w:r>
    </w:p>
    <w:p w14:paraId="7BDA3576" w14:textId="77777777" w:rsidR="00FD4FD5" w:rsidRPr="00DB11B5" w:rsidRDefault="00FD4FD5" w:rsidP="00B163BA">
      <w:pPr>
        <w:contextualSpacing/>
        <w:rPr>
          <w:rFonts w:ascii="Cambria" w:hAnsi="Cambria"/>
          <w:color w:val="FF0000"/>
        </w:rPr>
      </w:pPr>
    </w:p>
    <w:p w14:paraId="4EFA5A2B" w14:textId="6C7694ED" w:rsidR="007B7BE4" w:rsidRDefault="007B7BE4" w:rsidP="007B7BE4">
      <w:pPr>
        <w:contextualSpacing/>
        <w:rPr>
          <w:rFonts w:ascii="Cambria" w:hAnsi="Cambria"/>
        </w:rPr>
      </w:pPr>
      <w:r>
        <w:rPr>
          <w:rFonts w:ascii="Cambria" w:hAnsi="Cambria"/>
        </w:rPr>
        <w:t>Charge</w:t>
      </w:r>
      <w:r w:rsidR="00D3532F">
        <w:rPr>
          <w:rFonts w:ascii="Cambria" w:hAnsi="Cambria"/>
        </w:rPr>
        <w:t>:</w:t>
      </w:r>
    </w:p>
    <w:p w14:paraId="12412501" w14:textId="4B2537F7" w:rsidR="002F523B" w:rsidRDefault="00B163BA" w:rsidP="002F523B">
      <w:pPr>
        <w:contextualSpacing/>
        <w:rPr>
          <w:rFonts w:ascii="Cambria" w:hAnsi="Cambria"/>
        </w:rPr>
      </w:pPr>
      <w:r>
        <w:rPr>
          <w:rFonts w:ascii="Cambria" w:hAnsi="Cambria"/>
        </w:rPr>
        <w:tab/>
      </w:r>
      <w:r w:rsidR="002F523B">
        <w:rPr>
          <w:rFonts w:ascii="Cambria" w:hAnsi="Cambria"/>
        </w:rPr>
        <w:t xml:space="preserve">In addition to the general charge to the Task Forces, the </w:t>
      </w:r>
      <w:r w:rsidR="002F523B" w:rsidRPr="002F523B">
        <w:rPr>
          <w:rFonts w:ascii="Cambria" w:hAnsi="Cambria"/>
        </w:rPr>
        <w:t>Task Force on Increasing Student Success and Academic Excellence</w:t>
      </w:r>
      <w:r w:rsidR="00346307">
        <w:rPr>
          <w:rFonts w:ascii="Cambria" w:hAnsi="Cambria"/>
        </w:rPr>
        <w:t xml:space="preserve"> should also consider the following questions, as well as other that may arise during the deliberations:</w:t>
      </w:r>
    </w:p>
    <w:p w14:paraId="27406160" w14:textId="4E631629" w:rsidR="00346307" w:rsidRDefault="00346307" w:rsidP="00346307">
      <w:pPr>
        <w:pStyle w:val="ListParagraph"/>
        <w:numPr>
          <w:ilvl w:val="0"/>
          <w:numId w:val="4"/>
        </w:numPr>
        <w:rPr>
          <w:rFonts w:ascii="Cambria" w:hAnsi="Cambria"/>
        </w:rPr>
      </w:pPr>
      <w:r>
        <w:rPr>
          <w:rFonts w:ascii="Cambria" w:hAnsi="Cambria"/>
        </w:rPr>
        <w:t>Two important measures of student success are retention and graduation rates.  What evidence/data have we utilized to understand the caus</w:t>
      </w:r>
      <w:r w:rsidR="00B163BA">
        <w:rPr>
          <w:rFonts w:ascii="Cambria" w:hAnsi="Cambria"/>
        </w:rPr>
        <w:t>e of HSU’s relatively low rates, and what additional information do we need to address this goal?</w:t>
      </w:r>
      <w:r>
        <w:rPr>
          <w:rFonts w:ascii="Cambria" w:hAnsi="Cambria"/>
        </w:rPr>
        <w:t xml:space="preserve"> </w:t>
      </w:r>
    </w:p>
    <w:p w14:paraId="460DF41A" w14:textId="77777777" w:rsidR="00346307" w:rsidRDefault="00346307" w:rsidP="00346307">
      <w:pPr>
        <w:pStyle w:val="ListParagraph"/>
        <w:numPr>
          <w:ilvl w:val="0"/>
          <w:numId w:val="4"/>
        </w:numPr>
        <w:rPr>
          <w:rFonts w:ascii="Cambria" w:hAnsi="Cambria"/>
        </w:rPr>
      </w:pPr>
      <w:r>
        <w:rPr>
          <w:rFonts w:ascii="Cambria" w:hAnsi="Cambria"/>
        </w:rPr>
        <w:t>A key to attracting more students who will be interested in HSU’s</w:t>
      </w:r>
      <w:r w:rsidRPr="00FE46DC">
        <w:rPr>
          <w:rFonts w:ascii="Cambria" w:hAnsi="Cambria"/>
        </w:rPr>
        <w:t xml:space="preserve"> unique program mix and who will b</w:t>
      </w:r>
      <w:r>
        <w:rPr>
          <w:rFonts w:ascii="Cambria" w:hAnsi="Cambria"/>
        </w:rPr>
        <w:t xml:space="preserve">e successful on those programs will be important in our efforts to increase student success, increase resources, and build community.  </w:t>
      </w:r>
      <w:r w:rsidRPr="00FE46DC">
        <w:rPr>
          <w:rFonts w:ascii="Cambria" w:hAnsi="Cambria"/>
        </w:rPr>
        <w:t>How do we increase the name recognition and visibility of Humboldt State University beyond the local region, to include</w:t>
      </w:r>
      <w:r>
        <w:rPr>
          <w:rFonts w:ascii="Cambria" w:hAnsi="Cambria"/>
        </w:rPr>
        <w:t xml:space="preserve"> the entire State, nation, and world?</w:t>
      </w:r>
    </w:p>
    <w:p w14:paraId="57425840" w14:textId="21185F8C" w:rsidR="00346307" w:rsidRDefault="00346307" w:rsidP="00346307">
      <w:pPr>
        <w:pStyle w:val="ListParagraph"/>
        <w:numPr>
          <w:ilvl w:val="0"/>
          <w:numId w:val="4"/>
        </w:numPr>
        <w:rPr>
          <w:rFonts w:ascii="Cambria" w:hAnsi="Cambria"/>
        </w:rPr>
      </w:pPr>
      <w:r>
        <w:rPr>
          <w:rFonts w:ascii="Cambria" w:hAnsi="Cambria"/>
        </w:rPr>
        <w:t>How does the goal of sustainability connect with the University’s strategic goals?</w:t>
      </w:r>
    </w:p>
    <w:p w14:paraId="45974517" w14:textId="55C7EFDD" w:rsidR="00346307" w:rsidRDefault="00346307" w:rsidP="00346307">
      <w:pPr>
        <w:pStyle w:val="ListParagraph"/>
        <w:numPr>
          <w:ilvl w:val="0"/>
          <w:numId w:val="4"/>
        </w:numPr>
        <w:rPr>
          <w:rFonts w:ascii="Cambria" w:hAnsi="Cambria"/>
        </w:rPr>
      </w:pPr>
      <w:r>
        <w:rPr>
          <w:rFonts w:ascii="Cambria" w:hAnsi="Cambria"/>
        </w:rPr>
        <w:t>What are the optimal enrollment targets that balance quality education, funding sources, and space?</w:t>
      </w:r>
    </w:p>
    <w:p w14:paraId="3F164E55" w14:textId="33B8C0E2" w:rsidR="00346307" w:rsidRDefault="00346307" w:rsidP="00346307">
      <w:pPr>
        <w:pStyle w:val="ListParagraph"/>
        <w:numPr>
          <w:ilvl w:val="0"/>
          <w:numId w:val="4"/>
        </w:numPr>
        <w:rPr>
          <w:rFonts w:ascii="Cambria" w:hAnsi="Cambria"/>
        </w:rPr>
      </w:pPr>
      <w:r>
        <w:rPr>
          <w:rFonts w:ascii="Cambria" w:hAnsi="Cambria"/>
        </w:rPr>
        <w:t>HSU has started several initiatives regarding eLearning and Distance Education.  What is the strategic role of these pedagogies in HSU’s future, and how do we ensure student success in these courses and programs?  In what additional ways does technology play a role in academic success?</w:t>
      </w:r>
    </w:p>
    <w:p w14:paraId="51CC5E9D" w14:textId="0DD05CEE" w:rsidR="00346307" w:rsidRDefault="00346307" w:rsidP="00346307">
      <w:pPr>
        <w:pStyle w:val="ListParagraph"/>
        <w:numPr>
          <w:ilvl w:val="0"/>
          <w:numId w:val="4"/>
        </w:numPr>
        <w:rPr>
          <w:rFonts w:ascii="Cambria" w:hAnsi="Cambria"/>
        </w:rPr>
      </w:pPr>
      <w:r>
        <w:rPr>
          <w:rFonts w:ascii="Cambria" w:hAnsi="Cambria"/>
        </w:rPr>
        <w:t>Along with many other colleges and universities, HSU</w:t>
      </w:r>
      <w:r w:rsidR="00C279C0">
        <w:rPr>
          <w:rFonts w:ascii="Cambria" w:hAnsi="Cambria"/>
        </w:rPr>
        <w:t xml:space="preserve"> has some significant challenges regarding alcohol and substance abuse among the student population, which has a direct impact on student health and academic success.  Given existing initiatives, are there additional or different activities that can be explored to reduce alcohol and substance abuse on campus?</w:t>
      </w:r>
    </w:p>
    <w:p w14:paraId="01F09D52" w14:textId="71A61257" w:rsidR="002F523B" w:rsidRDefault="002F523B" w:rsidP="007B7BE4">
      <w:pPr>
        <w:contextualSpacing/>
        <w:rPr>
          <w:rFonts w:ascii="Cambria" w:hAnsi="Cambria"/>
        </w:rPr>
      </w:pPr>
    </w:p>
    <w:p w14:paraId="3EA4813D" w14:textId="77777777" w:rsidR="007B7BE4" w:rsidRDefault="007B7BE4" w:rsidP="006D52BE">
      <w:pPr>
        <w:contextualSpacing/>
        <w:rPr>
          <w:rFonts w:ascii="Cambria" w:hAnsi="Cambria"/>
        </w:rPr>
      </w:pPr>
    </w:p>
    <w:p w14:paraId="06C275DC" w14:textId="0E446B48" w:rsidR="007B7BE4" w:rsidRPr="00B163BA" w:rsidRDefault="007B7BE4" w:rsidP="006D52BE">
      <w:pPr>
        <w:contextualSpacing/>
        <w:rPr>
          <w:rFonts w:ascii="Cambria" w:hAnsi="Cambria"/>
          <w:b/>
        </w:rPr>
      </w:pPr>
      <w:r w:rsidRPr="00B163BA">
        <w:rPr>
          <w:rFonts w:ascii="Cambria" w:hAnsi="Cambria"/>
          <w:b/>
        </w:rPr>
        <w:t>Task Force on Ensuring Resources to Fulfill the University’s Mission:</w:t>
      </w:r>
    </w:p>
    <w:p w14:paraId="4A560A25" w14:textId="77777777" w:rsidR="00B163BA" w:rsidRDefault="007B7BE4" w:rsidP="00B523DD">
      <w:pPr>
        <w:rPr>
          <w:rFonts w:ascii="Cambria" w:hAnsi="Cambria"/>
        </w:rPr>
      </w:pPr>
      <w:r>
        <w:rPr>
          <w:rFonts w:ascii="Cambria" w:hAnsi="Cambria"/>
        </w:rPr>
        <w:tab/>
      </w:r>
    </w:p>
    <w:p w14:paraId="0EE89702" w14:textId="61D012D1" w:rsidR="00B523DD" w:rsidRDefault="007B7BE4" w:rsidP="00B523DD">
      <w:pPr>
        <w:rPr>
          <w:rFonts w:ascii="Cambria" w:hAnsi="Cambria"/>
        </w:rPr>
      </w:pPr>
      <w:r>
        <w:rPr>
          <w:rFonts w:ascii="Cambria" w:hAnsi="Cambria"/>
        </w:rPr>
        <w:t>Composition</w:t>
      </w:r>
      <w:r w:rsidR="00DB11B5">
        <w:rPr>
          <w:rFonts w:ascii="Cambria" w:hAnsi="Cambria"/>
        </w:rPr>
        <w:t>:</w:t>
      </w:r>
      <w:r w:rsidR="00B523DD">
        <w:rPr>
          <w:rFonts w:ascii="Cambria" w:hAnsi="Cambria"/>
        </w:rPr>
        <w:t xml:space="preserve"> </w:t>
      </w:r>
    </w:p>
    <w:p w14:paraId="22469FFC" w14:textId="649E1F91" w:rsidR="00B523DD" w:rsidRPr="009B43ED" w:rsidRDefault="00B523DD" w:rsidP="00B163BA">
      <w:pPr>
        <w:ind w:left="720"/>
        <w:rPr>
          <w:color w:val="FF0000"/>
        </w:rPr>
      </w:pPr>
      <w:r>
        <w:rPr>
          <w:i/>
        </w:rPr>
        <w:t>Admin</w:t>
      </w:r>
      <w:r w:rsidR="00B163BA">
        <w:rPr>
          <w:i/>
        </w:rPr>
        <w:t>istrative</w:t>
      </w:r>
      <w:r>
        <w:rPr>
          <w:i/>
        </w:rPr>
        <w:t xml:space="preserve"> support</w:t>
      </w:r>
      <w:r w:rsidR="00B163BA">
        <w:rPr>
          <w:i/>
        </w:rPr>
        <w:t>:</w:t>
      </w:r>
      <w:r>
        <w:rPr>
          <w:i/>
        </w:rPr>
        <w:t xml:space="preserve"> Julie Tucker </w:t>
      </w:r>
    </w:p>
    <w:p w14:paraId="0B5B98EC" w14:textId="0475FD18" w:rsidR="00307C09" w:rsidRDefault="00B523DD" w:rsidP="00B163BA">
      <w:pPr>
        <w:ind w:left="720"/>
      </w:pPr>
      <w:r>
        <w:t>Rick Zechman</w:t>
      </w:r>
      <w:r w:rsidR="00307C09">
        <w:t xml:space="preserve"> (co-chair)</w:t>
      </w:r>
      <w:r w:rsidR="001568FE">
        <w:t>, Associate Dean, CNRS</w:t>
      </w:r>
    </w:p>
    <w:p w14:paraId="0A744E8E" w14:textId="3D7B26BC" w:rsidR="00B523DD" w:rsidRDefault="00B523DD" w:rsidP="00B163BA">
      <w:pPr>
        <w:ind w:left="720"/>
      </w:pPr>
      <w:r>
        <w:t xml:space="preserve">Hari Singh </w:t>
      </w:r>
      <w:r w:rsidR="001568FE">
        <w:t>(co</w:t>
      </w:r>
      <w:r>
        <w:t>-</w:t>
      </w:r>
      <w:r w:rsidR="001568FE">
        <w:t>chair), Chair, School of Business</w:t>
      </w:r>
    </w:p>
    <w:p w14:paraId="49A81D06" w14:textId="57524017" w:rsidR="00B523DD" w:rsidRDefault="00B523DD" w:rsidP="00B163BA">
      <w:pPr>
        <w:ind w:left="720"/>
      </w:pPr>
    </w:p>
    <w:p w14:paraId="77D9C74D" w14:textId="77777777" w:rsidR="00B163BA" w:rsidRDefault="007B7BE4" w:rsidP="007B7BE4">
      <w:pPr>
        <w:contextualSpacing/>
        <w:rPr>
          <w:rFonts w:ascii="Cambria" w:hAnsi="Cambria"/>
        </w:rPr>
      </w:pPr>
      <w:r>
        <w:rPr>
          <w:rFonts w:ascii="Cambria" w:hAnsi="Cambria"/>
        </w:rPr>
        <w:t>Charge</w:t>
      </w:r>
      <w:r w:rsidR="00DB11B5">
        <w:rPr>
          <w:rFonts w:ascii="Cambria" w:hAnsi="Cambria"/>
        </w:rPr>
        <w:t>:</w:t>
      </w:r>
      <w:r w:rsidR="00346307">
        <w:rPr>
          <w:rFonts w:ascii="Cambria" w:hAnsi="Cambria"/>
        </w:rPr>
        <w:t xml:space="preserve"> </w:t>
      </w:r>
    </w:p>
    <w:p w14:paraId="64239EAD" w14:textId="39E84B30" w:rsidR="007B7BE4" w:rsidRDefault="00346307" w:rsidP="00B163BA">
      <w:pPr>
        <w:ind w:firstLine="360"/>
        <w:contextualSpacing/>
        <w:rPr>
          <w:rFonts w:ascii="Cambria" w:hAnsi="Cambria"/>
        </w:rPr>
      </w:pPr>
      <w:r>
        <w:rPr>
          <w:rFonts w:ascii="Cambria" w:hAnsi="Cambria"/>
        </w:rPr>
        <w:t>In additio</w:t>
      </w:r>
      <w:r w:rsidR="00B163BA">
        <w:rPr>
          <w:rFonts w:ascii="Cambria" w:hAnsi="Cambria"/>
        </w:rPr>
        <w:t>n to the general charge to the task f</w:t>
      </w:r>
      <w:r>
        <w:rPr>
          <w:rFonts w:ascii="Cambria" w:hAnsi="Cambria"/>
        </w:rPr>
        <w:t xml:space="preserve">orces, the </w:t>
      </w:r>
      <w:r w:rsidRPr="002F523B">
        <w:rPr>
          <w:rFonts w:ascii="Cambria" w:hAnsi="Cambria"/>
        </w:rPr>
        <w:t>Task Force</w:t>
      </w:r>
      <w:r>
        <w:rPr>
          <w:rFonts w:ascii="Cambria" w:hAnsi="Cambria"/>
        </w:rPr>
        <w:t xml:space="preserve"> on Ensuring Resources to </w:t>
      </w:r>
      <w:r w:rsidR="00A8577A">
        <w:rPr>
          <w:rFonts w:ascii="Cambria" w:hAnsi="Cambria"/>
        </w:rPr>
        <w:t xml:space="preserve">Fulfill the University’s Mission should consider the following questions as well as others that might arise during </w:t>
      </w:r>
      <w:r w:rsidR="00B163BA">
        <w:rPr>
          <w:rFonts w:ascii="Cambria" w:hAnsi="Cambria"/>
        </w:rPr>
        <w:t>the</w:t>
      </w:r>
      <w:r w:rsidR="00A8577A">
        <w:rPr>
          <w:rFonts w:ascii="Cambria" w:hAnsi="Cambria"/>
        </w:rPr>
        <w:t xml:space="preserve"> deliberations.</w:t>
      </w:r>
    </w:p>
    <w:p w14:paraId="7C3B7C1F" w14:textId="77777777" w:rsidR="00A8577A" w:rsidRDefault="00A8577A" w:rsidP="007B7BE4">
      <w:pPr>
        <w:contextualSpacing/>
        <w:rPr>
          <w:rFonts w:ascii="Cambria" w:hAnsi="Cambria"/>
        </w:rPr>
      </w:pPr>
    </w:p>
    <w:p w14:paraId="0E0375F5" w14:textId="69B36A2F" w:rsidR="007B7BE4" w:rsidRDefault="00A8577A" w:rsidP="00123FD9">
      <w:pPr>
        <w:pStyle w:val="ListParagraph"/>
        <w:numPr>
          <w:ilvl w:val="0"/>
          <w:numId w:val="14"/>
        </w:numPr>
        <w:rPr>
          <w:rFonts w:ascii="Cambria" w:hAnsi="Cambria"/>
        </w:rPr>
      </w:pPr>
      <w:r>
        <w:rPr>
          <w:rFonts w:ascii="Cambria" w:hAnsi="Cambria"/>
        </w:rPr>
        <w:t xml:space="preserve">It is clear that State support of higher education will not return to the levels of the early years of the CSU. </w:t>
      </w:r>
      <w:r w:rsidR="00B163BA">
        <w:rPr>
          <w:rFonts w:ascii="Cambria" w:hAnsi="Cambria"/>
        </w:rPr>
        <w:t xml:space="preserve"> </w:t>
      </w:r>
      <w:r>
        <w:rPr>
          <w:rFonts w:ascii="Cambria" w:hAnsi="Cambria"/>
        </w:rPr>
        <w:t xml:space="preserve">We must consider other revenue sources to help the University meet its educational objectives. </w:t>
      </w:r>
      <w:r w:rsidR="00B163BA">
        <w:rPr>
          <w:rFonts w:ascii="Cambria" w:hAnsi="Cambria"/>
        </w:rPr>
        <w:t xml:space="preserve"> </w:t>
      </w:r>
      <w:r>
        <w:rPr>
          <w:rFonts w:ascii="Cambria" w:hAnsi="Cambria"/>
        </w:rPr>
        <w:t xml:space="preserve">Please identify initiatives that </w:t>
      </w:r>
      <w:r w:rsidR="006B1A17">
        <w:rPr>
          <w:rFonts w:ascii="Cambria" w:hAnsi="Cambria"/>
        </w:rPr>
        <w:t xml:space="preserve">will expand funding, </w:t>
      </w:r>
      <w:r w:rsidR="00B163BA">
        <w:rPr>
          <w:rFonts w:ascii="Cambria" w:hAnsi="Cambria"/>
        </w:rPr>
        <w:t xml:space="preserve">including </w:t>
      </w:r>
      <w:r w:rsidR="006B1A17">
        <w:rPr>
          <w:rFonts w:ascii="Cambria" w:hAnsi="Cambria"/>
        </w:rPr>
        <w:t>strategies that could yield results over time and specific examples that we can implement immediately.</w:t>
      </w:r>
    </w:p>
    <w:p w14:paraId="22FD74C7" w14:textId="21ECAA6F" w:rsidR="00B163BA" w:rsidRDefault="00123FD9" w:rsidP="00123FD9">
      <w:pPr>
        <w:pStyle w:val="ListParagraph"/>
        <w:numPr>
          <w:ilvl w:val="0"/>
          <w:numId w:val="14"/>
        </w:numPr>
        <w:rPr>
          <w:rFonts w:ascii="Cambria" w:hAnsi="Cambria"/>
        </w:rPr>
      </w:pPr>
      <w:r>
        <w:rPr>
          <w:rFonts w:ascii="Cambria" w:hAnsi="Cambria"/>
        </w:rPr>
        <w:t>What best practices exist at other CSU campuses (and elsewhere) to increase fundraising in ways that would be consistent with HSU’s goals?</w:t>
      </w:r>
    </w:p>
    <w:p w14:paraId="5557BCA3" w14:textId="046866C2" w:rsidR="00123FD9" w:rsidRDefault="00123FD9" w:rsidP="00123FD9">
      <w:pPr>
        <w:pStyle w:val="ListParagraph"/>
        <w:numPr>
          <w:ilvl w:val="0"/>
          <w:numId w:val="14"/>
        </w:numPr>
        <w:rPr>
          <w:rFonts w:ascii="Cambria" w:hAnsi="Cambria"/>
        </w:rPr>
      </w:pPr>
      <w:r>
        <w:rPr>
          <w:rFonts w:ascii="Cambria" w:hAnsi="Cambria"/>
        </w:rPr>
        <w:t>HSU is known for having a relatively large percentage of alumni who support the University.  How can we leverage this connection?</w:t>
      </w:r>
    </w:p>
    <w:p w14:paraId="0F532969" w14:textId="6F265F7E" w:rsidR="00123FD9" w:rsidRDefault="00123FD9" w:rsidP="00123FD9">
      <w:pPr>
        <w:pStyle w:val="ListParagraph"/>
        <w:numPr>
          <w:ilvl w:val="0"/>
          <w:numId w:val="14"/>
        </w:numPr>
        <w:rPr>
          <w:rFonts w:ascii="Cambria" w:hAnsi="Cambria"/>
        </w:rPr>
      </w:pPr>
      <w:r>
        <w:rPr>
          <w:rFonts w:ascii="Cambria" w:hAnsi="Cambria"/>
        </w:rPr>
        <w:t>Intellectual property is becoming an increasingly important form of support on other CSU campuses, and we now have access to IP lawyers.  What role could this source of revenue play at HSU?</w:t>
      </w:r>
    </w:p>
    <w:p w14:paraId="558E4A1C" w14:textId="686EEE9A" w:rsidR="002929B2" w:rsidRDefault="002929B2" w:rsidP="00155C91">
      <w:pPr>
        <w:ind w:left="360"/>
        <w:rPr>
          <w:rFonts w:ascii="Cambria" w:hAnsi="Cambria"/>
        </w:rPr>
      </w:pPr>
    </w:p>
    <w:p w14:paraId="7BAFAC53" w14:textId="77777777" w:rsidR="00155C91" w:rsidRPr="00155C91" w:rsidRDefault="00155C91" w:rsidP="00155C91">
      <w:pPr>
        <w:ind w:left="360"/>
        <w:rPr>
          <w:rFonts w:ascii="Cambria" w:hAnsi="Cambria"/>
        </w:rPr>
      </w:pPr>
    </w:p>
    <w:p w14:paraId="2B931799" w14:textId="752457AD" w:rsidR="007B7BE4" w:rsidRPr="00B163BA" w:rsidRDefault="007B7BE4" w:rsidP="006D52BE">
      <w:pPr>
        <w:contextualSpacing/>
        <w:rPr>
          <w:rFonts w:ascii="Cambria" w:hAnsi="Cambria"/>
          <w:b/>
        </w:rPr>
      </w:pPr>
      <w:r w:rsidRPr="00B163BA">
        <w:rPr>
          <w:rFonts w:ascii="Cambria" w:hAnsi="Cambria"/>
          <w:b/>
        </w:rPr>
        <w:t>Task Force on Supporting an Inclusive and Diverse Community:</w:t>
      </w:r>
    </w:p>
    <w:p w14:paraId="7075B8C0" w14:textId="77777777" w:rsidR="00B163BA" w:rsidRDefault="00B163BA" w:rsidP="006D52BE">
      <w:pPr>
        <w:contextualSpacing/>
        <w:rPr>
          <w:rFonts w:ascii="Cambria" w:hAnsi="Cambria"/>
        </w:rPr>
      </w:pPr>
    </w:p>
    <w:p w14:paraId="458B389A" w14:textId="6F3DA25F" w:rsidR="007B7BE4" w:rsidRDefault="007B7BE4" w:rsidP="007B7BE4">
      <w:pPr>
        <w:contextualSpacing/>
        <w:rPr>
          <w:rFonts w:ascii="Cambria" w:hAnsi="Cambria"/>
        </w:rPr>
      </w:pPr>
      <w:r>
        <w:rPr>
          <w:rFonts w:ascii="Cambria" w:hAnsi="Cambria"/>
        </w:rPr>
        <w:t>Composition</w:t>
      </w:r>
      <w:r w:rsidR="00DB11B5">
        <w:rPr>
          <w:rFonts w:ascii="Cambria" w:hAnsi="Cambria"/>
        </w:rPr>
        <w:t>:</w:t>
      </w:r>
    </w:p>
    <w:p w14:paraId="5EC6D12E" w14:textId="34683693" w:rsidR="00B523DD" w:rsidRPr="009B43ED" w:rsidRDefault="00B163BA" w:rsidP="00B163BA">
      <w:pPr>
        <w:ind w:left="720"/>
        <w:rPr>
          <w:color w:val="FF0000"/>
        </w:rPr>
      </w:pPr>
      <w:r>
        <w:rPr>
          <w:i/>
        </w:rPr>
        <w:t>Administrative</w:t>
      </w:r>
      <w:r w:rsidR="00B523DD">
        <w:rPr>
          <w:i/>
        </w:rPr>
        <w:t xml:space="preserve"> support</w:t>
      </w:r>
      <w:r>
        <w:rPr>
          <w:i/>
        </w:rPr>
        <w:t>:</w:t>
      </w:r>
      <w:r w:rsidR="00B523DD">
        <w:rPr>
          <w:i/>
        </w:rPr>
        <w:t xml:space="preserve"> </w:t>
      </w:r>
      <w:proofErr w:type="spellStart"/>
      <w:r w:rsidR="00B523DD">
        <w:rPr>
          <w:i/>
        </w:rPr>
        <w:t>Lura</w:t>
      </w:r>
      <w:proofErr w:type="spellEnd"/>
      <w:r w:rsidR="00B523DD">
        <w:rPr>
          <w:i/>
        </w:rPr>
        <w:t xml:space="preserve"> </w:t>
      </w:r>
      <w:proofErr w:type="spellStart"/>
      <w:r w:rsidR="00B523DD">
        <w:rPr>
          <w:i/>
        </w:rPr>
        <w:t>Hol</w:t>
      </w:r>
      <w:r w:rsidR="0017363A">
        <w:rPr>
          <w:i/>
        </w:rPr>
        <w:t>t</w:t>
      </w:r>
      <w:r w:rsidR="00B523DD">
        <w:rPr>
          <w:i/>
        </w:rPr>
        <w:t>kamp</w:t>
      </w:r>
      <w:proofErr w:type="spellEnd"/>
    </w:p>
    <w:p w14:paraId="3DA35F8B" w14:textId="5681E763" w:rsidR="001568FE" w:rsidRDefault="00B523DD" w:rsidP="00B163BA">
      <w:pPr>
        <w:ind w:left="720"/>
      </w:pPr>
      <w:r>
        <w:t xml:space="preserve">Mary Glenn </w:t>
      </w:r>
      <w:r w:rsidR="001568FE">
        <w:t>(co-chair), Associate Dean, CPS</w:t>
      </w:r>
    </w:p>
    <w:p w14:paraId="0C53C21B" w14:textId="5096A97D" w:rsidR="00B523DD" w:rsidRDefault="00B523DD" w:rsidP="00B163BA">
      <w:pPr>
        <w:ind w:left="720"/>
      </w:pPr>
      <w:r>
        <w:t>Kris P</w:t>
      </w:r>
      <w:r w:rsidR="001568FE">
        <w:t>atzlaff (co-chair), Faculty Art</w:t>
      </w:r>
    </w:p>
    <w:p w14:paraId="50405EFF" w14:textId="77777777" w:rsidR="00DB11B5" w:rsidRDefault="00DB11B5" w:rsidP="007B7BE4">
      <w:pPr>
        <w:contextualSpacing/>
        <w:rPr>
          <w:rFonts w:ascii="Cambria" w:hAnsi="Cambria"/>
        </w:rPr>
      </w:pPr>
    </w:p>
    <w:p w14:paraId="16E90C1A" w14:textId="77777777" w:rsidR="00B163BA" w:rsidRDefault="007B7BE4" w:rsidP="007B7BE4">
      <w:pPr>
        <w:contextualSpacing/>
        <w:rPr>
          <w:rFonts w:ascii="Cambria" w:hAnsi="Cambria"/>
        </w:rPr>
      </w:pPr>
      <w:r>
        <w:rPr>
          <w:rFonts w:ascii="Cambria" w:hAnsi="Cambria"/>
        </w:rPr>
        <w:t>Charge</w:t>
      </w:r>
      <w:r w:rsidR="00DB11B5">
        <w:rPr>
          <w:rFonts w:ascii="Cambria" w:hAnsi="Cambria"/>
        </w:rPr>
        <w:t>:</w:t>
      </w:r>
      <w:r w:rsidR="00346307" w:rsidRPr="00346307">
        <w:rPr>
          <w:rFonts w:ascii="Cambria" w:hAnsi="Cambria"/>
        </w:rPr>
        <w:t xml:space="preserve"> </w:t>
      </w:r>
    </w:p>
    <w:p w14:paraId="0907390D" w14:textId="392F8DDB" w:rsidR="007B7BE4" w:rsidRDefault="00346307" w:rsidP="00B163BA">
      <w:pPr>
        <w:ind w:firstLine="360"/>
        <w:contextualSpacing/>
        <w:rPr>
          <w:rFonts w:ascii="Cambria" w:hAnsi="Cambria"/>
        </w:rPr>
      </w:pPr>
      <w:r>
        <w:rPr>
          <w:rFonts w:ascii="Cambria" w:hAnsi="Cambria"/>
        </w:rPr>
        <w:t>In additio</w:t>
      </w:r>
      <w:r w:rsidR="00B163BA">
        <w:rPr>
          <w:rFonts w:ascii="Cambria" w:hAnsi="Cambria"/>
        </w:rPr>
        <w:t>n to the general charge to the task f</w:t>
      </w:r>
      <w:r>
        <w:rPr>
          <w:rFonts w:ascii="Cambria" w:hAnsi="Cambria"/>
        </w:rPr>
        <w:t xml:space="preserve">orces, the </w:t>
      </w:r>
      <w:r w:rsidRPr="002F523B">
        <w:rPr>
          <w:rFonts w:ascii="Cambria" w:hAnsi="Cambria"/>
        </w:rPr>
        <w:t>Task Force</w:t>
      </w:r>
      <w:r>
        <w:rPr>
          <w:rFonts w:ascii="Cambria" w:hAnsi="Cambria"/>
        </w:rPr>
        <w:t xml:space="preserve"> on Supporting an Inclusive and Diverse Community</w:t>
      </w:r>
      <w:r w:rsidR="006D1840">
        <w:rPr>
          <w:rFonts w:ascii="Cambria" w:hAnsi="Cambria"/>
        </w:rPr>
        <w:t xml:space="preserve"> should consider the following questions as well as others that might arise during your deliberations. </w:t>
      </w:r>
    </w:p>
    <w:p w14:paraId="7C0BF8BE" w14:textId="77777777" w:rsidR="006D1840" w:rsidRDefault="006D1840" w:rsidP="007B7BE4">
      <w:pPr>
        <w:contextualSpacing/>
        <w:rPr>
          <w:rFonts w:ascii="Cambria" w:hAnsi="Cambria"/>
        </w:rPr>
      </w:pPr>
    </w:p>
    <w:p w14:paraId="2B99406B" w14:textId="5C101D28" w:rsidR="00FE46DC" w:rsidRDefault="006D1840" w:rsidP="00B163BA">
      <w:pPr>
        <w:pStyle w:val="ListParagraph"/>
        <w:numPr>
          <w:ilvl w:val="0"/>
          <w:numId w:val="12"/>
        </w:numPr>
        <w:rPr>
          <w:rFonts w:ascii="Cambria" w:hAnsi="Cambria"/>
        </w:rPr>
      </w:pPr>
      <w:r w:rsidRPr="006D1840">
        <w:rPr>
          <w:rFonts w:ascii="Cambria" w:hAnsi="Cambria"/>
        </w:rPr>
        <w:t xml:space="preserve">We are proud of the great progress the University has made in diversifying the campus over the last ten years. </w:t>
      </w:r>
      <w:r w:rsidR="00B163BA">
        <w:rPr>
          <w:rFonts w:ascii="Cambria" w:hAnsi="Cambria"/>
        </w:rPr>
        <w:t xml:space="preserve"> </w:t>
      </w:r>
      <w:r w:rsidRPr="006D1840">
        <w:rPr>
          <w:rFonts w:ascii="Cambria" w:hAnsi="Cambria"/>
        </w:rPr>
        <w:t xml:space="preserve">We must continue to embrace the role diversity plays in accomplishing our educational, research, and community service missions. </w:t>
      </w:r>
      <w:r w:rsidR="00B163BA">
        <w:rPr>
          <w:rFonts w:ascii="Cambria" w:hAnsi="Cambria"/>
        </w:rPr>
        <w:t xml:space="preserve"> </w:t>
      </w:r>
      <w:r w:rsidRPr="006D1840">
        <w:rPr>
          <w:rFonts w:ascii="Cambria" w:hAnsi="Cambria"/>
        </w:rPr>
        <w:t xml:space="preserve">Given our current initiatives and our data on student, faculty, and staff diversity, </w:t>
      </w:r>
      <w:r w:rsidR="00B163BA">
        <w:rPr>
          <w:rFonts w:ascii="Cambria" w:hAnsi="Cambria"/>
        </w:rPr>
        <w:t xml:space="preserve">please </w:t>
      </w:r>
      <w:r w:rsidRPr="006D1840">
        <w:rPr>
          <w:rFonts w:ascii="Cambria" w:hAnsi="Cambria"/>
        </w:rPr>
        <w:t>evaluate the state of the University’s diversity initiatives. Should we consider pursuing different and/or additional initiatives? What are the special challenges in our community and how do we best address these challenges?</w:t>
      </w:r>
    </w:p>
    <w:p w14:paraId="4989004B" w14:textId="40FEDC51" w:rsidR="006D1840" w:rsidRDefault="006D1840" w:rsidP="00B163BA">
      <w:pPr>
        <w:pStyle w:val="ListParagraph"/>
        <w:numPr>
          <w:ilvl w:val="0"/>
          <w:numId w:val="12"/>
        </w:numPr>
        <w:rPr>
          <w:rFonts w:ascii="Cambria" w:hAnsi="Cambria"/>
        </w:rPr>
      </w:pPr>
      <w:r w:rsidRPr="006D1840">
        <w:rPr>
          <w:rFonts w:ascii="Cambria" w:hAnsi="Cambria"/>
        </w:rPr>
        <w:t>Many of our programs play a special role in fostering diversity.</w:t>
      </w:r>
      <w:r w:rsidR="006E0061">
        <w:rPr>
          <w:rFonts w:ascii="Cambria" w:hAnsi="Cambria"/>
        </w:rPr>
        <w:t xml:space="preserve"> How can we support the educational and research missions of academic programs that foster diversity on our campus?</w:t>
      </w:r>
    </w:p>
    <w:p w14:paraId="53455EBE" w14:textId="24008264" w:rsidR="006E0061" w:rsidRDefault="006E0061" w:rsidP="00B163BA">
      <w:pPr>
        <w:pStyle w:val="ListParagraph"/>
        <w:numPr>
          <w:ilvl w:val="0"/>
          <w:numId w:val="12"/>
        </w:numPr>
        <w:rPr>
          <w:rFonts w:ascii="Cambria" w:hAnsi="Cambria"/>
        </w:rPr>
      </w:pPr>
      <w:r>
        <w:rPr>
          <w:rFonts w:ascii="Cambria" w:hAnsi="Cambria"/>
        </w:rPr>
        <w:t>One of the most significant benefits of diversity to our campus is the opportunity for individuals to interact with others from different backgrounds. Are there initiatives we can undertake to enhance opportunities for interaction and integration?</w:t>
      </w:r>
    </w:p>
    <w:p w14:paraId="55E3ECCE" w14:textId="375E4C79" w:rsidR="006E0061" w:rsidRPr="006D1840" w:rsidRDefault="006E0061" w:rsidP="00B163BA">
      <w:pPr>
        <w:pStyle w:val="ListParagraph"/>
        <w:numPr>
          <w:ilvl w:val="0"/>
          <w:numId w:val="12"/>
        </w:numPr>
        <w:rPr>
          <w:rFonts w:ascii="Cambria" w:hAnsi="Cambria"/>
        </w:rPr>
      </w:pPr>
      <w:r>
        <w:rPr>
          <w:rFonts w:ascii="Cambria" w:hAnsi="Cambria"/>
        </w:rPr>
        <w:t xml:space="preserve">How can we clearly and effectively communicate about </w:t>
      </w:r>
      <w:r w:rsidR="00BC077A">
        <w:rPr>
          <w:rFonts w:ascii="Cambria" w:hAnsi="Cambria"/>
        </w:rPr>
        <w:t>our diversity initiatives on and off campus so that members of the community are informed of our programs and their impact?</w:t>
      </w:r>
    </w:p>
    <w:p w14:paraId="39754485" w14:textId="77777777" w:rsidR="00E73998" w:rsidRDefault="00E73998" w:rsidP="00E73998">
      <w:pPr>
        <w:rPr>
          <w:rFonts w:ascii="Cambria" w:hAnsi="Cambria"/>
        </w:rPr>
      </w:pPr>
    </w:p>
    <w:p w14:paraId="7A804ADE" w14:textId="2E5D958F" w:rsidR="009A0E9D" w:rsidRDefault="009A0E9D">
      <w:pPr>
        <w:rPr>
          <w:rFonts w:ascii="Cambria" w:hAnsi="Cambria"/>
        </w:rPr>
      </w:pPr>
    </w:p>
    <w:p w14:paraId="26C519F7" w14:textId="77777777" w:rsidR="009A0E9D" w:rsidRDefault="009A0E9D" w:rsidP="00E73998">
      <w:pPr>
        <w:rPr>
          <w:rFonts w:ascii="Cambria" w:hAnsi="Cambria"/>
        </w:rPr>
      </w:pPr>
    </w:p>
    <w:p w14:paraId="4760B772" w14:textId="4AC4C9D8" w:rsidR="00E73998" w:rsidRDefault="00E73998" w:rsidP="00E73998">
      <w:pPr>
        <w:rPr>
          <w:rFonts w:ascii="Cambria" w:hAnsi="Cambria"/>
        </w:rPr>
      </w:pPr>
      <w:r>
        <w:rPr>
          <w:rFonts w:ascii="Cambria" w:hAnsi="Cambria"/>
        </w:rPr>
        <w:t>Timeline:</w:t>
      </w:r>
    </w:p>
    <w:p w14:paraId="5DB5F094" w14:textId="65505865" w:rsidR="00E73998" w:rsidRDefault="00E73998" w:rsidP="00123FD9">
      <w:pPr>
        <w:ind w:left="2160" w:hanging="2160"/>
        <w:rPr>
          <w:rFonts w:ascii="Cambria" w:hAnsi="Cambria"/>
        </w:rPr>
      </w:pPr>
      <w:r>
        <w:rPr>
          <w:rFonts w:ascii="Cambria" w:hAnsi="Cambria"/>
        </w:rPr>
        <w:t xml:space="preserve">September 23, 2014 </w:t>
      </w:r>
      <w:r>
        <w:rPr>
          <w:rFonts w:ascii="Cambria" w:hAnsi="Cambria"/>
        </w:rPr>
        <w:tab/>
        <w:t xml:space="preserve">University Senate </w:t>
      </w:r>
      <w:r w:rsidR="0045469D">
        <w:rPr>
          <w:rFonts w:ascii="Cambria" w:hAnsi="Cambria"/>
        </w:rPr>
        <w:t xml:space="preserve">and </w:t>
      </w:r>
      <w:r>
        <w:rPr>
          <w:rFonts w:ascii="Cambria" w:hAnsi="Cambria"/>
        </w:rPr>
        <w:t>Executive Council discusses draft process.</w:t>
      </w:r>
      <w:r w:rsidR="00AD49F2">
        <w:rPr>
          <w:rFonts w:ascii="Cambria" w:hAnsi="Cambria"/>
        </w:rPr>
        <w:t xml:space="preserve">  </w:t>
      </w:r>
    </w:p>
    <w:p w14:paraId="6D5DBA80" w14:textId="77777777" w:rsidR="00E73998" w:rsidRDefault="00E73998" w:rsidP="00123FD9">
      <w:pPr>
        <w:ind w:left="2160" w:hanging="2160"/>
        <w:rPr>
          <w:rFonts w:ascii="Cambria" w:hAnsi="Cambria"/>
        </w:rPr>
      </w:pPr>
    </w:p>
    <w:p w14:paraId="11B2A0DE" w14:textId="713B7766" w:rsidR="00E73998" w:rsidRDefault="00E73998" w:rsidP="00123FD9">
      <w:pPr>
        <w:ind w:left="2160" w:hanging="2160"/>
        <w:rPr>
          <w:rFonts w:ascii="Cambria" w:hAnsi="Cambria"/>
        </w:rPr>
      </w:pPr>
      <w:r>
        <w:rPr>
          <w:rFonts w:ascii="Cambria" w:hAnsi="Cambria"/>
        </w:rPr>
        <w:t>September 30, 2014</w:t>
      </w:r>
      <w:r>
        <w:rPr>
          <w:rFonts w:ascii="Cambria" w:hAnsi="Cambria"/>
        </w:rPr>
        <w:tab/>
        <w:t>Full University Senate discusses draft process</w:t>
      </w:r>
      <w:r w:rsidR="00AD49F2">
        <w:rPr>
          <w:rFonts w:ascii="Cambria" w:hAnsi="Cambria"/>
        </w:rPr>
        <w:t xml:space="preserve">  </w:t>
      </w:r>
    </w:p>
    <w:p w14:paraId="17B3D218" w14:textId="77777777" w:rsidR="00E73998" w:rsidRDefault="00E73998" w:rsidP="00123FD9">
      <w:pPr>
        <w:ind w:left="2160" w:hanging="2160"/>
        <w:rPr>
          <w:rFonts w:ascii="Cambria" w:hAnsi="Cambria"/>
        </w:rPr>
      </w:pPr>
    </w:p>
    <w:p w14:paraId="688FA3C1" w14:textId="79CEB5F5" w:rsidR="00E73998" w:rsidRDefault="00273F9B" w:rsidP="00123FD9">
      <w:pPr>
        <w:ind w:left="2160" w:hanging="2160"/>
        <w:rPr>
          <w:rFonts w:ascii="Cambria" w:hAnsi="Cambria"/>
        </w:rPr>
      </w:pPr>
      <w:r>
        <w:rPr>
          <w:rFonts w:ascii="Cambria" w:hAnsi="Cambria"/>
        </w:rPr>
        <w:t>October</w:t>
      </w:r>
      <w:r w:rsidR="00E73998">
        <w:rPr>
          <w:rFonts w:ascii="Cambria" w:hAnsi="Cambria"/>
        </w:rPr>
        <w:t>, 2014</w:t>
      </w:r>
      <w:r w:rsidR="00E73998">
        <w:rPr>
          <w:rFonts w:ascii="Cambria" w:hAnsi="Cambria"/>
        </w:rPr>
        <w:tab/>
        <w:t>Task Forces appointed</w:t>
      </w:r>
    </w:p>
    <w:p w14:paraId="7399F4E5" w14:textId="77777777" w:rsidR="00AD49F2" w:rsidRDefault="00AD49F2" w:rsidP="00123FD9">
      <w:pPr>
        <w:ind w:left="2160" w:hanging="2160"/>
        <w:rPr>
          <w:rFonts w:ascii="Cambria" w:hAnsi="Cambria"/>
        </w:rPr>
      </w:pPr>
    </w:p>
    <w:p w14:paraId="1DEF47CE" w14:textId="32F76BDB" w:rsidR="00123FD9" w:rsidRDefault="00280DD4" w:rsidP="00123FD9">
      <w:pPr>
        <w:ind w:left="2160" w:hanging="2160"/>
        <w:rPr>
          <w:rFonts w:ascii="Cambria" w:hAnsi="Cambria"/>
        </w:rPr>
      </w:pPr>
      <w:r>
        <w:rPr>
          <w:rFonts w:ascii="Cambria" w:hAnsi="Cambria"/>
        </w:rPr>
        <w:t>March</w:t>
      </w:r>
      <w:r w:rsidR="00AD49F2">
        <w:rPr>
          <w:rFonts w:ascii="Cambria" w:hAnsi="Cambria"/>
        </w:rPr>
        <w:t>, 2015</w:t>
      </w:r>
      <w:r w:rsidR="00AD49F2">
        <w:rPr>
          <w:rFonts w:ascii="Cambria" w:hAnsi="Cambria"/>
        </w:rPr>
        <w:tab/>
        <w:t xml:space="preserve">Task Force reports are submitted to the Steering Committee.  Reports should include background information on the issues, identified goals, recommended initiatives, and any resource requirements.  </w:t>
      </w:r>
    </w:p>
    <w:p w14:paraId="178E61F0" w14:textId="77777777" w:rsidR="00123FD9" w:rsidRDefault="00123FD9" w:rsidP="00123FD9">
      <w:pPr>
        <w:ind w:left="2160" w:hanging="2160"/>
        <w:rPr>
          <w:rFonts w:ascii="Cambria" w:hAnsi="Cambria"/>
        </w:rPr>
      </w:pPr>
    </w:p>
    <w:p w14:paraId="2C58718E" w14:textId="4F607C57" w:rsidR="00123FD9" w:rsidRDefault="00123FD9" w:rsidP="00123FD9">
      <w:pPr>
        <w:ind w:left="2160" w:hanging="2160"/>
        <w:rPr>
          <w:rFonts w:ascii="Cambria" w:hAnsi="Cambria"/>
        </w:rPr>
      </w:pPr>
      <w:r>
        <w:rPr>
          <w:rFonts w:ascii="Cambria" w:hAnsi="Cambria"/>
        </w:rPr>
        <w:t>March, 2015</w:t>
      </w:r>
      <w:r>
        <w:rPr>
          <w:rFonts w:ascii="Cambria" w:hAnsi="Cambria"/>
        </w:rPr>
        <w:tab/>
      </w:r>
      <w:bookmarkStart w:id="0" w:name="_GoBack"/>
      <w:bookmarkEnd w:id="0"/>
      <w:r w:rsidR="00AD49F2">
        <w:rPr>
          <w:rFonts w:ascii="Cambria" w:hAnsi="Cambria"/>
        </w:rPr>
        <w:t>The Steering Committee will integrate the task force recommendations and financial plans.</w:t>
      </w:r>
      <w:r>
        <w:rPr>
          <w:rFonts w:ascii="Cambria" w:hAnsi="Cambria"/>
        </w:rPr>
        <w:t xml:space="preserve">  These will be posted on the HSU website with an invitation to comment and provide additional input. </w:t>
      </w:r>
    </w:p>
    <w:p w14:paraId="6F530ACA" w14:textId="77777777" w:rsidR="00123FD9" w:rsidRDefault="00123FD9" w:rsidP="00123FD9">
      <w:pPr>
        <w:ind w:left="2160" w:hanging="2160"/>
        <w:rPr>
          <w:rFonts w:ascii="Cambria" w:hAnsi="Cambria"/>
        </w:rPr>
      </w:pPr>
    </w:p>
    <w:p w14:paraId="7454E282" w14:textId="781B6E39" w:rsidR="00AD49F2" w:rsidRDefault="00280DD4" w:rsidP="00123FD9">
      <w:pPr>
        <w:ind w:left="2160" w:hanging="2160"/>
        <w:rPr>
          <w:rFonts w:ascii="Cambria" w:hAnsi="Cambria"/>
        </w:rPr>
      </w:pPr>
      <w:r>
        <w:rPr>
          <w:rFonts w:ascii="Cambria" w:hAnsi="Cambria"/>
        </w:rPr>
        <w:t>May</w:t>
      </w:r>
      <w:r w:rsidR="00123FD9">
        <w:rPr>
          <w:rFonts w:ascii="Cambria" w:hAnsi="Cambria"/>
        </w:rPr>
        <w:t>, 2015</w:t>
      </w:r>
      <w:r w:rsidR="00123FD9">
        <w:rPr>
          <w:rFonts w:ascii="Cambria" w:hAnsi="Cambria"/>
        </w:rPr>
        <w:tab/>
      </w:r>
      <w:r w:rsidR="00AD49F2">
        <w:rPr>
          <w:rFonts w:ascii="Cambria" w:hAnsi="Cambria"/>
        </w:rPr>
        <w:t xml:space="preserve"> </w:t>
      </w:r>
      <w:r w:rsidR="00123FD9">
        <w:rPr>
          <w:rFonts w:ascii="Cambria" w:hAnsi="Cambria"/>
        </w:rPr>
        <w:t>The Steering Committee finalizes the strategic plan.</w:t>
      </w:r>
    </w:p>
    <w:p w14:paraId="7BD63AB8" w14:textId="77777777" w:rsidR="00123FD9" w:rsidRDefault="00123FD9" w:rsidP="00123FD9">
      <w:pPr>
        <w:ind w:left="2160" w:hanging="2160"/>
        <w:rPr>
          <w:rFonts w:ascii="Cambria" w:hAnsi="Cambria"/>
        </w:rPr>
      </w:pPr>
    </w:p>
    <w:p w14:paraId="2A8C391F" w14:textId="77777777" w:rsidR="00123FD9" w:rsidRDefault="00123FD9" w:rsidP="00123FD9">
      <w:pPr>
        <w:ind w:left="2160" w:hanging="2160"/>
        <w:rPr>
          <w:rFonts w:ascii="Cambria" w:hAnsi="Cambria"/>
        </w:rPr>
      </w:pPr>
    </w:p>
    <w:p w14:paraId="60783094" w14:textId="77777777" w:rsidR="00123FD9" w:rsidRDefault="00123FD9" w:rsidP="00123FD9">
      <w:pPr>
        <w:ind w:left="2160" w:hanging="2160"/>
        <w:rPr>
          <w:rFonts w:ascii="Cambria" w:hAnsi="Cambria"/>
        </w:rPr>
      </w:pPr>
    </w:p>
    <w:p w14:paraId="7DEC8131" w14:textId="5FAB12C0" w:rsidR="00123FD9" w:rsidRDefault="009A0E9D" w:rsidP="00123FD9">
      <w:pPr>
        <w:ind w:left="2160" w:hanging="2160"/>
        <w:rPr>
          <w:rFonts w:ascii="Cambria" w:hAnsi="Cambria"/>
        </w:rPr>
      </w:pPr>
      <w:r>
        <w:rPr>
          <w:rFonts w:ascii="Cambria" w:hAnsi="Cambria"/>
        </w:rPr>
        <w:t xml:space="preserve">Revised </w:t>
      </w:r>
      <w:r w:rsidR="005C1568">
        <w:rPr>
          <w:rFonts w:ascii="Cambria" w:hAnsi="Cambria"/>
        </w:rPr>
        <w:t>10</w:t>
      </w:r>
      <w:r>
        <w:rPr>
          <w:rFonts w:ascii="Cambria" w:hAnsi="Cambria"/>
        </w:rPr>
        <w:t>/</w:t>
      </w:r>
      <w:r w:rsidR="005C1568">
        <w:rPr>
          <w:rFonts w:ascii="Cambria" w:hAnsi="Cambria"/>
        </w:rPr>
        <w:t>2</w:t>
      </w:r>
      <w:r w:rsidR="00280DD4">
        <w:rPr>
          <w:rFonts w:ascii="Cambria" w:hAnsi="Cambria"/>
        </w:rPr>
        <w:t>9</w:t>
      </w:r>
      <w:r w:rsidR="00123FD9">
        <w:rPr>
          <w:rFonts w:ascii="Cambria" w:hAnsi="Cambria"/>
        </w:rPr>
        <w:t>/14</w:t>
      </w:r>
    </w:p>
    <w:p w14:paraId="4DE279AD" w14:textId="77777777" w:rsidR="00E73998" w:rsidRDefault="00E73998" w:rsidP="00E73998">
      <w:pPr>
        <w:rPr>
          <w:rFonts w:ascii="Cambria" w:hAnsi="Cambria"/>
        </w:rPr>
      </w:pPr>
    </w:p>
    <w:p w14:paraId="1AFB185A" w14:textId="77777777" w:rsidR="00E73998" w:rsidRDefault="00E73998" w:rsidP="00E73998">
      <w:pPr>
        <w:rPr>
          <w:rFonts w:ascii="Cambria" w:hAnsi="Cambria"/>
        </w:rPr>
      </w:pPr>
    </w:p>
    <w:p w14:paraId="2DE1E387" w14:textId="77777777" w:rsidR="00E73998" w:rsidRPr="00E73998" w:rsidRDefault="00E73998" w:rsidP="00E73998">
      <w:pPr>
        <w:rPr>
          <w:rFonts w:ascii="Cambria" w:hAnsi="Cambria"/>
        </w:rPr>
      </w:pPr>
    </w:p>
    <w:p w14:paraId="44FD10E3" w14:textId="77777777" w:rsidR="007B7BE4" w:rsidRDefault="007B7BE4" w:rsidP="006D52BE">
      <w:pPr>
        <w:contextualSpacing/>
        <w:rPr>
          <w:rFonts w:ascii="Cambria" w:hAnsi="Cambria"/>
        </w:rPr>
      </w:pPr>
    </w:p>
    <w:p w14:paraId="61358541" w14:textId="77777777" w:rsidR="007B7BE4" w:rsidRDefault="007B7BE4" w:rsidP="006D52BE">
      <w:pPr>
        <w:contextualSpacing/>
        <w:rPr>
          <w:rFonts w:ascii="Cambria" w:hAnsi="Cambria"/>
        </w:rPr>
      </w:pPr>
    </w:p>
    <w:p w14:paraId="49171388" w14:textId="77777777" w:rsidR="007B7BE4" w:rsidRDefault="007B7BE4" w:rsidP="006D52BE">
      <w:pPr>
        <w:contextualSpacing/>
        <w:rPr>
          <w:rFonts w:ascii="Cambria" w:hAnsi="Cambria"/>
        </w:rPr>
      </w:pPr>
    </w:p>
    <w:p w14:paraId="7E8E16DD" w14:textId="77777777" w:rsidR="007B7BE4" w:rsidRPr="00D54450" w:rsidRDefault="007B7BE4" w:rsidP="006D52BE">
      <w:pPr>
        <w:contextualSpacing/>
        <w:rPr>
          <w:rFonts w:ascii="Cambria" w:hAnsi="Cambria"/>
        </w:rPr>
      </w:pPr>
    </w:p>
    <w:p w14:paraId="76BDB67E" w14:textId="50066113" w:rsidR="002C55B0" w:rsidRPr="00D54450" w:rsidRDefault="002C55B0" w:rsidP="006D52BE">
      <w:pPr>
        <w:contextualSpacing/>
        <w:rPr>
          <w:rFonts w:ascii="Cambria" w:hAnsi="Cambria"/>
        </w:rPr>
      </w:pPr>
    </w:p>
    <w:sectPr w:rsidR="002C55B0" w:rsidRPr="00D54450" w:rsidSect="0036399D">
      <w:headerReference w:type="even" r:id="rId15"/>
      <w:headerReference w:type="default" r:id="rId1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78FAD" w14:textId="77777777" w:rsidR="002929B2" w:rsidRDefault="002929B2" w:rsidP="0036399D">
      <w:r>
        <w:separator/>
      </w:r>
    </w:p>
  </w:endnote>
  <w:endnote w:type="continuationSeparator" w:id="0">
    <w:p w14:paraId="7EA6BEE0" w14:textId="77777777" w:rsidR="002929B2" w:rsidRDefault="002929B2" w:rsidP="0036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C95EB" w14:textId="77777777" w:rsidR="002929B2" w:rsidRDefault="002929B2" w:rsidP="0036399D">
      <w:r>
        <w:separator/>
      </w:r>
    </w:p>
  </w:footnote>
  <w:footnote w:type="continuationSeparator" w:id="0">
    <w:p w14:paraId="5CD147CC" w14:textId="77777777" w:rsidR="002929B2" w:rsidRDefault="002929B2" w:rsidP="003639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8726B" w14:textId="77777777" w:rsidR="002929B2" w:rsidRDefault="002929B2" w:rsidP="0036399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6EBA34" w14:textId="77777777" w:rsidR="002929B2" w:rsidRDefault="002929B2" w:rsidP="003639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A34BC" w14:textId="77777777" w:rsidR="002929B2" w:rsidRDefault="002929B2" w:rsidP="0036399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0DD4">
      <w:rPr>
        <w:rStyle w:val="PageNumber"/>
        <w:noProof/>
      </w:rPr>
      <w:t>7</w:t>
    </w:r>
    <w:r>
      <w:rPr>
        <w:rStyle w:val="PageNumber"/>
      </w:rPr>
      <w:fldChar w:fldCharType="end"/>
    </w:r>
  </w:p>
  <w:p w14:paraId="38476538" w14:textId="0CB4C71B" w:rsidR="002929B2" w:rsidRDefault="002929B2" w:rsidP="0036399D">
    <w:pPr>
      <w:pStyle w:val="Header"/>
      <w:ind w:right="360"/>
    </w:pPr>
    <w:r>
      <w:t>HSU Strategic Planning Process, 2015-</w:t>
    </w:r>
    <w:r w:rsidR="00804233">
      <w:t>2</w:t>
    </w:r>
    <w:r>
      <w:t>020</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5C6776"/>
    <w:multiLevelType w:val="multilevel"/>
    <w:tmpl w:val="CE3A07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0D7BC3"/>
    <w:multiLevelType w:val="hybridMultilevel"/>
    <w:tmpl w:val="95C06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D8369C"/>
    <w:multiLevelType w:val="hybridMultilevel"/>
    <w:tmpl w:val="7BF60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1C0D8E"/>
    <w:multiLevelType w:val="hybridMultilevel"/>
    <w:tmpl w:val="7066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01704E"/>
    <w:multiLevelType w:val="hybridMultilevel"/>
    <w:tmpl w:val="F918A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B44FFA"/>
    <w:multiLevelType w:val="hybridMultilevel"/>
    <w:tmpl w:val="C586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9B5DF6"/>
    <w:multiLevelType w:val="hybridMultilevel"/>
    <w:tmpl w:val="FDA09C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8777C3"/>
    <w:multiLevelType w:val="hybridMultilevel"/>
    <w:tmpl w:val="802EE2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8D6701"/>
    <w:multiLevelType w:val="hybridMultilevel"/>
    <w:tmpl w:val="D722D7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AF133E"/>
    <w:multiLevelType w:val="hybridMultilevel"/>
    <w:tmpl w:val="E506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D81117"/>
    <w:multiLevelType w:val="multilevel"/>
    <w:tmpl w:val="7BF602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A1A28D3"/>
    <w:multiLevelType w:val="hybridMultilevel"/>
    <w:tmpl w:val="CE3A0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F0218D"/>
    <w:multiLevelType w:val="hybridMultilevel"/>
    <w:tmpl w:val="ADC2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10"/>
  </w:num>
  <w:num w:numId="5">
    <w:abstractNumId w:val="2"/>
  </w:num>
  <w:num w:numId="6">
    <w:abstractNumId w:val="4"/>
  </w:num>
  <w:num w:numId="7">
    <w:abstractNumId w:val="13"/>
  </w:num>
  <w:num w:numId="8">
    <w:abstractNumId w:val="3"/>
  </w:num>
  <w:num w:numId="9">
    <w:abstractNumId w:val="6"/>
  </w:num>
  <w:num w:numId="10">
    <w:abstractNumId w:val="12"/>
  </w:num>
  <w:num w:numId="11">
    <w:abstractNumId w:val="11"/>
  </w:num>
  <w:num w:numId="12">
    <w:abstractNumId w:val="7"/>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B0"/>
    <w:rsid w:val="00001902"/>
    <w:rsid w:val="00002ED1"/>
    <w:rsid w:val="00030F36"/>
    <w:rsid w:val="00121B28"/>
    <w:rsid w:val="00123FD9"/>
    <w:rsid w:val="00132A5A"/>
    <w:rsid w:val="00155C91"/>
    <w:rsid w:val="001568FE"/>
    <w:rsid w:val="0017363A"/>
    <w:rsid w:val="001C2FB6"/>
    <w:rsid w:val="00273F9B"/>
    <w:rsid w:val="00280DD4"/>
    <w:rsid w:val="002857BD"/>
    <w:rsid w:val="002929B2"/>
    <w:rsid w:val="002C55B0"/>
    <w:rsid w:val="002C6034"/>
    <w:rsid w:val="002F36D1"/>
    <w:rsid w:val="002F523B"/>
    <w:rsid w:val="00307C09"/>
    <w:rsid w:val="00340C98"/>
    <w:rsid w:val="00346307"/>
    <w:rsid w:val="0036399D"/>
    <w:rsid w:val="003A5333"/>
    <w:rsid w:val="003C0126"/>
    <w:rsid w:val="00431941"/>
    <w:rsid w:val="00431BA7"/>
    <w:rsid w:val="0045469D"/>
    <w:rsid w:val="00462456"/>
    <w:rsid w:val="00494E25"/>
    <w:rsid w:val="004A11B6"/>
    <w:rsid w:val="004E1A99"/>
    <w:rsid w:val="00531D85"/>
    <w:rsid w:val="005409D1"/>
    <w:rsid w:val="00544EC1"/>
    <w:rsid w:val="00557C73"/>
    <w:rsid w:val="0058190D"/>
    <w:rsid w:val="005C1568"/>
    <w:rsid w:val="005C2070"/>
    <w:rsid w:val="00616183"/>
    <w:rsid w:val="00625C71"/>
    <w:rsid w:val="0069670C"/>
    <w:rsid w:val="00696FE8"/>
    <w:rsid w:val="006B1A17"/>
    <w:rsid w:val="006D1840"/>
    <w:rsid w:val="006D52BE"/>
    <w:rsid w:val="006E0061"/>
    <w:rsid w:val="007102DD"/>
    <w:rsid w:val="00730E7E"/>
    <w:rsid w:val="00740B2E"/>
    <w:rsid w:val="00770F0A"/>
    <w:rsid w:val="00776834"/>
    <w:rsid w:val="0079014C"/>
    <w:rsid w:val="007A11B4"/>
    <w:rsid w:val="007B7BE4"/>
    <w:rsid w:val="007F4AF6"/>
    <w:rsid w:val="00804233"/>
    <w:rsid w:val="008078EF"/>
    <w:rsid w:val="00876446"/>
    <w:rsid w:val="0089101F"/>
    <w:rsid w:val="008B4221"/>
    <w:rsid w:val="008B756B"/>
    <w:rsid w:val="008E2DBA"/>
    <w:rsid w:val="008E70A8"/>
    <w:rsid w:val="008E7ABE"/>
    <w:rsid w:val="00942C72"/>
    <w:rsid w:val="00960837"/>
    <w:rsid w:val="00995F3E"/>
    <w:rsid w:val="009A0E9D"/>
    <w:rsid w:val="009B5E3C"/>
    <w:rsid w:val="00A520D0"/>
    <w:rsid w:val="00A616B0"/>
    <w:rsid w:val="00A8577A"/>
    <w:rsid w:val="00AD2367"/>
    <w:rsid w:val="00AD49F2"/>
    <w:rsid w:val="00B163BA"/>
    <w:rsid w:val="00B523DD"/>
    <w:rsid w:val="00B87EF4"/>
    <w:rsid w:val="00B97B84"/>
    <w:rsid w:val="00BA4F32"/>
    <w:rsid w:val="00BC077A"/>
    <w:rsid w:val="00BE359B"/>
    <w:rsid w:val="00C172A5"/>
    <w:rsid w:val="00C279C0"/>
    <w:rsid w:val="00C429DB"/>
    <w:rsid w:val="00C65484"/>
    <w:rsid w:val="00C7045D"/>
    <w:rsid w:val="00C7261B"/>
    <w:rsid w:val="00D13324"/>
    <w:rsid w:val="00D3532F"/>
    <w:rsid w:val="00D54450"/>
    <w:rsid w:val="00DB11B5"/>
    <w:rsid w:val="00DC359E"/>
    <w:rsid w:val="00E25FCC"/>
    <w:rsid w:val="00E26922"/>
    <w:rsid w:val="00E57667"/>
    <w:rsid w:val="00E70F71"/>
    <w:rsid w:val="00E73998"/>
    <w:rsid w:val="00EF09DF"/>
    <w:rsid w:val="00F026C7"/>
    <w:rsid w:val="00F77C37"/>
    <w:rsid w:val="00FD4FD5"/>
    <w:rsid w:val="00FE4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56B801"/>
  <w15:docId w15:val="{333FC076-5659-4B48-B0F8-51B1733D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5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55B0"/>
    <w:rPr>
      <w:rFonts w:ascii="Lucida Grande" w:hAnsi="Lucida Grande" w:cs="Lucida Grande"/>
      <w:sz w:val="18"/>
      <w:szCs w:val="18"/>
    </w:rPr>
  </w:style>
  <w:style w:type="paragraph" w:styleId="ListParagraph">
    <w:name w:val="List Paragraph"/>
    <w:basedOn w:val="Normal"/>
    <w:uiPriority w:val="34"/>
    <w:qFormat/>
    <w:rsid w:val="002C55B0"/>
    <w:pPr>
      <w:ind w:left="720"/>
      <w:contextualSpacing/>
    </w:pPr>
  </w:style>
  <w:style w:type="table" w:styleId="TableGrid">
    <w:name w:val="Table Grid"/>
    <w:basedOn w:val="TableNormal"/>
    <w:uiPriority w:val="59"/>
    <w:rsid w:val="00D35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399D"/>
    <w:pPr>
      <w:tabs>
        <w:tab w:val="center" w:pos="4320"/>
        <w:tab w:val="right" w:pos="8640"/>
      </w:tabs>
    </w:pPr>
  </w:style>
  <w:style w:type="character" w:customStyle="1" w:styleId="HeaderChar">
    <w:name w:val="Header Char"/>
    <w:basedOn w:val="DefaultParagraphFont"/>
    <w:link w:val="Header"/>
    <w:uiPriority w:val="99"/>
    <w:rsid w:val="0036399D"/>
  </w:style>
  <w:style w:type="paragraph" w:styleId="Footer">
    <w:name w:val="footer"/>
    <w:basedOn w:val="Normal"/>
    <w:link w:val="FooterChar"/>
    <w:uiPriority w:val="99"/>
    <w:unhideWhenUsed/>
    <w:rsid w:val="0036399D"/>
    <w:pPr>
      <w:tabs>
        <w:tab w:val="center" w:pos="4320"/>
        <w:tab w:val="right" w:pos="8640"/>
      </w:tabs>
    </w:pPr>
  </w:style>
  <w:style w:type="character" w:customStyle="1" w:styleId="FooterChar">
    <w:name w:val="Footer Char"/>
    <w:basedOn w:val="DefaultParagraphFont"/>
    <w:link w:val="Footer"/>
    <w:uiPriority w:val="99"/>
    <w:rsid w:val="0036399D"/>
  </w:style>
  <w:style w:type="character" w:styleId="PageNumber">
    <w:name w:val="page number"/>
    <w:basedOn w:val="DefaultParagraphFont"/>
    <w:uiPriority w:val="99"/>
    <w:semiHidden/>
    <w:unhideWhenUsed/>
    <w:rsid w:val="0036399D"/>
  </w:style>
  <w:style w:type="character" w:styleId="Hyperlink">
    <w:name w:val="Hyperlink"/>
    <w:basedOn w:val="DefaultParagraphFont"/>
    <w:uiPriority w:val="99"/>
    <w:unhideWhenUsed/>
    <w:rsid w:val="002C6034"/>
    <w:rPr>
      <w:color w:val="0000FF" w:themeColor="hyperlink"/>
      <w:u w:val="single"/>
    </w:rPr>
  </w:style>
  <w:style w:type="character" w:styleId="FollowedHyperlink">
    <w:name w:val="FollowedHyperlink"/>
    <w:basedOn w:val="DefaultParagraphFont"/>
    <w:uiPriority w:val="99"/>
    <w:semiHidden/>
    <w:unhideWhenUsed/>
    <w:rsid w:val="00EF09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www.calstate.edu/accesstoexcellence/executive-summary-2011-2013.shtml"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9F68B6-06A0-BD4B-A69B-C7C382FA6A6B}" type="doc">
      <dgm:prSet loTypeId="urn:microsoft.com/office/officeart/2005/8/layout/orgChart1" loCatId="" qsTypeId="urn:microsoft.com/office/officeart/2005/8/quickstyle/simple3" qsCatId="simple" csTypeId="urn:microsoft.com/office/officeart/2005/8/colors/accent1_2" csCatId="accent1" phldr="1"/>
      <dgm:spPr/>
      <dgm:t>
        <a:bodyPr/>
        <a:lstStyle/>
        <a:p>
          <a:endParaRPr lang="en-US"/>
        </a:p>
      </dgm:t>
    </dgm:pt>
    <dgm:pt modelId="{A520E269-64DD-F34E-8A0D-D9B46A31F6EC}">
      <dgm:prSet phldrT="[Text]"/>
      <dgm:spPr/>
      <dgm:t>
        <a:bodyPr/>
        <a:lstStyle/>
        <a:p>
          <a:r>
            <a:rPr lang="en-US"/>
            <a:t>Strategic Planning Steering Committee</a:t>
          </a:r>
        </a:p>
      </dgm:t>
    </dgm:pt>
    <dgm:pt modelId="{F7FCF888-9798-7740-8D09-FDE984174619}" type="parTrans" cxnId="{105D663D-66BA-534B-94D9-E6BE4C50F91F}">
      <dgm:prSet/>
      <dgm:spPr/>
      <dgm:t>
        <a:bodyPr/>
        <a:lstStyle/>
        <a:p>
          <a:endParaRPr lang="en-US"/>
        </a:p>
      </dgm:t>
    </dgm:pt>
    <dgm:pt modelId="{9AAB9B30-014D-2E43-9035-5E9B48AA1FE6}" type="sibTrans" cxnId="{105D663D-66BA-534B-94D9-E6BE4C50F91F}">
      <dgm:prSet/>
      <dgm:spPr/>
      <dgm:t>
        <a:bodyPr/>
        <a:lstStyle/>
        <a:p>
          <a:endParaRPr lang="en-US"/>
        </a:p>
      </dgm:t>
    </dgm:pt>
    <dgm:pt modelId="{65BF6316-6E9B-EF4B-A5BB-2A06F8A4A6E1}">
      <dgm:prSet phldrT="[Text]"/>
      <dgm:spPr/>
      <dgm:t>
        <a:bodyPr/>
        <a:lstStyle/>
        <a:p>
          <a:r>
            <a:rPr lang="en-US"/>
            <a:t>Increasing Student Success and Academic Excellence</a:t>
          </a:r>
        </a:p>
      </dgm:t>
    </dgm:pt>
    <dgm:pt modelId="{65F54D99-6D41-DA48-AD76-0EC43A634D6B}" type="parTrans" cxnId="{6D2DA5DF-9FAE-EB4A-8D43-95E2709AFDAC}">
      <dgm:prSet/>
      <dgm:spPr/>
      <dgm:t>
        <a:bodyPr/>
        <a:lstStyle/>
        <a:p>
          <a:endParaRPr lang="en-US"/>
        </a:p>
      </dgm:t>
    </dgm:pt>
    <dgm:pt modelId="{89E8E20B-447F-1D4E-8BBB-0C4DF40C9863}" type="sibTrans" cxnId="{6D2DA5DF-9FAE-EB4A-8D43-95E2709AFDAC}">
      <dgm:prSet/>
      <dgm:spPr/>
      <dgm:t>
        <a:bodyPr/>
        <a:lstStyle/>
        <a:p>
          <a:endParaRPr lang="en-US"/>
        </a:p>
      </dgm:t>
    </dgm:pt>
    <dgm:pt modelId="{8B1BCB81-C8DD-DD4B-8C6E-EFB0623A26B2}">
      <dgm:prSet phldrT="[Text]"/>
      <dgm:spPr/>
      <dgm:t>
        <a:bodyPr/>
        <a:lstStyle/>
        <a:p>
          <a:r>
            <a:rPr lang="en-US"/>
            <a:t>Ensuring Resources to Fulfill the University's Mission </a:t>
          </a:r>
        </a:p>
      </dgm:t>
    </dgm:pt>
    <dgm:pt modelId="{24B98CE9-0DE7-264E-AD9C-BDA0872046D1}" type="parTrans" cxnId="{C61A5F21-0069-FE42-A636-BB9E2AFECA5D}">
      <dgm:prSet/>
      <dgm:spPr/>
      <dgm:t>
        <a:bodyPr/>
        <a:lstStyle/>
        <a:p>
          <a:endParaRPr lang="en-US"/>
        </a:p>
      </dgm:t>
    </dgm:pt>
    <dgm:pt modelId="{1B48E400-003C-A74D-80DD-A5EAC51E896C}" type="sibTrans" cxnId="{C61A5F21-0069-FE42-A636-BB9E2AFECA5D}">
      <dgm:prSet/>
      <dgm:spPr/>
      <dgm:t>
        <a:bodyPr/>
        <a:lstStyle/>
        <a:p>
          <a:endParaRPr lang="en-US"/>
        </a:p>
      </dgm:t>
    </dgm:pt>
    <dgm:pt modelId="{96CF7743-258D-F54B-BB40-80A127CAEE57}">
      <dgm:prSet phldrT="[Text]"/>
      <dgm:spPr/>
      <dgm:t>
        <a:bodyPr/>
        <a:lstStyle/>
        <a:p>
          <a:r>
            <a:rPr lang="en-US"/>
            <a:t>Supporting an Inclusive and Diverse Community</a:t>
          </a:r>
        </a:p>
      </dgm:t>
    </dgm:pt>
    <dgm:pt modelId="{B7A6B89C-AF26-7C4C-BB89-BD3AD87B1BB2}" type="parTrans" cxnId="{A61633DE-FD18-9D4B-B8C0-629B9723706D}">
      <dgm:prSet/>
      <dgm:spPr/>
      <dgm:t>
        <a:bodyPr/>
        <a:lstStyle/>
        <a:p>
          <a:endParaRPr lang="en-US"/>
        </a:p>
      </dgm:t>
    </dgm:pt>
    <dgm:pt modelId="{6331BFA9-19CC-984C-A623-F83E95EBF516}" type="sibTrans" cxnId="{A61633DE-FD18-9D4B-B8C0-629B9723706D}">
      <dgm:prSet/>
      <dgm:spPr/>
      <dgm:t>
        <a:bodyPr/>
        <a:lstStyle/>
        <a:p>
          <a:endParaRPr lang="en-US"/>
        </a:p>
      </dgm:t>
    </dgm:pt>
    <dgm:pt modelId="{AC5154E9-7F58-6046-B5A0-256E9877D8A0}" type="pres">
      <dgm:prSet presAssocID="{EB9F68B6-06A0-BD4B-A69B-C7C382FA6A6B}" presName="hierChild1" presStyleCnt="0">
        <dgm:presLayoutVars>
          <dgm:orgChart val="1"/>
          <dgm:chPref val="1"/>
          <dgm:dir/>
          <dgm:animOne val="branch"/>
          <dgm:animLvl val="lvl"/>
          <dgm:resizeHandles/>
        </dgm:presLayoutVars>
      </dgm:prSet>
      <dgm:spPr/>
      <dgm:t>
        <a:bodyPr/>
        <a:lstStyle/>
        <a:p>
          <a:endParaRPr lang="en-US"/>
        </a:p>
      </dgm:t>
    </dgm:pt>
    <dgm:pt modelId="{0331A1E2-250E-EF4B-B71D-4E40A0D28F3F}" type="pres">
      <dgm:prSet presAssocID="{A520E269-64DD-F34E-8A0D-D9B46A31F6EC}" presName="hierRoot1" presStyleCnt="0">
        <dgm:presLayoutVars>
          <dgm:hierBranch val="init"/>
        </dgm:presLayoutVars>
      </dgm:prSet>
      <dgm:spPr/>
    </dgm:pt>
    <dgm:pt modelId="{BC7C7792-C5B7-D346-81F4-75E85A9E27D9}" type="pres">
      <dgm:prSet presAssocID="{A520E269-64DD-F34E-8A0D-D9B46A31F6EC}" presName="rootComposite1" presStyleCnt="0"/>
      <dgm:spPr/>
    </dgm:pt>
    <dgm:pt modelId="{CE1052D0-76DC-0F40-80B5-C50F0844895D}" type="pres">
      <dgm:prSet presAssocID="{A520E269-64DD-F34E-8A0D-D9B46A31F6EC}" presName="rootText1" presStyleLbl="node0" presStyleIdx="0" presStyleCnt="1">
        <dgm:presLayoutVars>
          <dgm:chPref val="3"/>
        </dgm:presLayoutVars>
      </dgm:prSet>
      <dgm:spPr/>
      <dgm:t>
        <a:bodyPr/>
        <a:lstStyle/>
        <a:p>
          <a:endParaRPr lang="en-US"/>
        </a:p>
      </dgm:t>
    </dgm:pt>
    <dgm:pt modelId="{4D9DE633-4A2B-304F-A3EC-D0F7CFEF27A9}" type="pres">
      <dgm:prSet presAssocID="{A520E269-64DD-F34E-8A0D-D9B46A31F6EC}" presName="rootConnector1" presStyleLbl="node1" presStyleIdx="0" presStyleCnt="0"/>
      <dgm:spPr/>
      <dgm:t>
        <a:bodyPr/>
        <a:lstStyle/>
        <a:p>
          <a:endParaRPr lang="en-US"/>
        </a:p>
      </dgm:t>
    </dgm:pt>
    <dgm:pt modelId="{B8A9674D-6FAC-1E4F-AE97-F2A9B7275024}" type="pres">
      <dgm:prSet presAssocID="{A520E269-64DD-F34E-8A0D-D9B46A31F6EC}" presName="hierChild2" presStyleCnt="0"/>
      <dgm:spPr/>
    </dgm:pt>
    <dgm:pt modelId="{DF7D0FFC-7467-1649-90F2-12C3489B563C}" type="pres">
      <dgm:prSet presAssocID="{65F54D99-6D41-DA48-AD76-0EC43A634D6B}" presName="Name37" presStyleLbl="parChTrans1D2" presStyleIdx="0" presStyleCnt="3"/>
      <dgm:spPr/>
      <dgm:t>
        <a:bodyPr/>
        <a:lstStyle/>
        <a:p>
          <a:endParaRPr lang="en-US"/>
        </a:p>
      </dgm:t>
    </dgm:pt>
    <dgm:pt modelId="{FAFC7CD1-D8D6-C146-99A2-B328CBBF0C3B}" type="pres">
      <dgm:prSet presAssocID="{65BF6316-6E9B-EF4B-A5BB-2A06F8A4A6E1}" presName="hierRoot2" presStyleCnt="0">
        <dgm:presLayoutVars>
          <dgm:hierBranch val="init"/>
        </dgm:presLayoutVars>
      </dgm:prSet>
      <dgm:spPr/>
    </dgm:pt>
    <dgm:pt modelId="{28AA1407-4944-364A-BD48-6E07839AB2B0}" type="pres">
      <dgm:prSet presAssocID="{65BF6316-6E9B-EF4B-A5BB-2A06F8A4A6E1}" presName="rootComposite" presStyleCnt="0"/>
      <dgm:spPr/>
    </dgm:pt>
    <dgm:pt modelId="{1A35CC49-DC03-6B43-8648-28F0791CF2D3}" type="pres">
      <dgm:prSet presAssocID="{65BF6316-6E9B-EF4B-A5BB-2A06F8A4A6E1}" presName="rootText" presStyleLbl="node2" presStyleIdx="0" presStyleCnt="3">
        <dgm:presLayoutVars>
          <dgm:chPref val="3"/>
        </dgm:presLayoutVars>
      </dgm:prSet>
      <dgm:spPr/>
      <dgm:t>
        <a:bodyPr/>
        <a:lstStyle/>
        <a:p>
          <a:endParaRPr lang="en-US"/>
        </a:p>
      </dgm:t>
    </dgm:pt>
    <dgm:pt modelId="{B4287B65-92A3-CB43-82DF-6DECDDE87FAA}" type="pres">
      <dgm:prSet presAssocID="{65BF6316-6E9B-EF4B-A5BB-2A06F8A4A6E1}" presName="rootConnector" presStyleLbl="node2" presStyleIdx="0" presStyleCnt="3"/>
      <dgm:spPr/>
      <dgm:t>
        <a:bodyPr/>
        <a:lstStyle/>
        <a:p>
          <a:endParaRPr lang="en-US"/>
        </a:p>
      </dgm:t>
    </dgm:pt>
    <dgm:pt modelId="{A9ABCF9A-43B0-524A-A7EF-20B3DE665416}" type="pres">
      <dgm:prSet presAssocID="{65BF6316-6E9B-EF4B-A5BB-2A06F8A4A6E1}" presName="hierChild4" presStyleCnt="0"/>
      <dgm:spPr/>
    </dgm:pt>
    <dgm:pt modelId="{7886DAA6-CC4C-D640-ADE2-67832C799649}" type="pres">
      <dgm:prSet presAssocID="{65BF6316-6E9B-EF4B-A5BB-2A06F8A4A6E1}" presName="hierChild5" presStyleCnt="0"/>
      <dgm:spPr/>
    </dgm:pt>
    <dgm:pt modelId="{F4C52A66-18AF-CD42-9F72-934670FBD024}" type="pres">
      <dgm:prSet presAssocID="{24B98CE9-0DE7-264E-AD9C-BDA0872046D1}" presName="Name37" presStyleLbl="parChTrans1D2" presStyleIdx="1" presStyleCnt="3"/>
      <dgm:spPr/>
      <dgm:t>
        <a:bodyPr/>
        <a:lstStyle/>
        <a:p>
          <a:endParaRPr lang="en-US"/>
        </a:p>
      </dgm:t>
    </dgm:pt>
    <dgm:pt modelId="{EE453D7B-F6CA-854A-B734-2F89CFE17862}" type="pres">
      <dgm:prSet presAssocID="{8B1BCB81-C8DD-DD4B-8C6E-EFB0623A26B2}" presName="hierRoot2" presStyleCnt="0">
        <dgm:presLayoutVars>
          <dgm:hierBranch val="init"/>
        </dgm:presLayoutVars>
      </dgm:prSet>
      <dgm:spPr/>
    </dgm:pt>
    <dgm:pt modelId="{ED758CD7-F278-8240-9842-BD2975F6FB07}" type="pres">
      <dgm:prSet presAssocID="{8B1BCB81-C8DD-DD4B-8C6E-EFB0623A26B2}" presName="rootComposite" presStyleCnt="0"/>
      <dgm:spPr/>
    </dgm:pt>
    <dgm:pt modelId="{2D2481ED-B562-1A4D-8A33-D97D0AD884EF}" type="pres">
      <dgm:prSet presAssocID="{8B1BCB81-C8DD-DD4B-8C6E-EFB0623A26B2}" presName="rootText" presStyleLbl="node2" presStyleIdx="1" presStyleCnt="3">
        <dgm:presLayoutVars>
          <dgm:chPref val="3"/>
        </dgm:presLayoutVars>
      </dgm:prSet>
      <dgm:spPr/>
      <dgm:t>
        <a:bodyPr/>
        <a:lstStyle/>
        <a:p>
          <a:endParaRPr lang="en-US"/>
        </a:p>
      </dgm:t>
    </dgm:pt>
    <dgm:pt modelId="{4F3C723C-20CC-4241-B251-54456010008C}" type="pres">
      <dgm:prSet presAssocID="{8B1BCB81-C8DD-DD4B-8C6E-EFB0623A26B2}" presName="rootConnector" presStyleLbl="node2" presStyleIdx="1" presStyleCnt="3"/>
      <dgm:spPr/>
      <dgm:t>
        <a:bodyPr/>
        <a:lstStyle/>
        <a:p>
          <a:endParaRPr lang="en-US"/>
        </a:p>
      </dgm:t>
    </dgm:pt>
    <dgm:pt modelId="{8AF947C6-8B59-774A-8CD5-F83E8F52507F}" type="pres">
      <dgm:prSet presAssocID="{8B1BCB81-C8DD-DD4B-8C6E-EFB0623A26B2}" presName="hierChild4" presStyleCnt="0"/>
      <dgm:spPr/>
    </dgm:pt>
    <dgm:pt modelId="{756FE354-09E7-E841-9DDB-EC18647A406A}" type="pres">
      <dgm:prSet presAssocID="{8B1BCB81-C8DD-DD4B-8C6E-EFB0623A26B2}" presName="hierChild5" presStyleCnt="0"/>
      <dgm:spPr/>
    </dgm:pt>
    <dgm:pt modelId="{64806FE3-A406-0C43-B467-07180EC49B0A}" type="pres">
      <dgm:prSet presAssocID="{B7A6B89C-AF26-7C4C-BB89-BD3AD87B1BB2}" presName="Name37" presStyleLbl="parChTrans1D2" presStyleIdx="2" presStyleCnt="3"/>
      <dgm:spPr/>
      <dgm:t>
        <a:bodyPr/>
        <a:lstStyle/>
        <a:p>
          <a:endParaRPr lang="en-US"/>
        </a:p>
      </dgm:t>
    </dgm:pt>
    <dgm:pt modelId="{A3CC7C37-2003-694B-86DD-13CC14C4E5D9}" type="pres">
      <dgm:prSet presAssocID="{96CF7743-258D-F54B-BB40-80A127CAEE57}" presName="hierRoot2" presStyleCnt="0">
        <dgm:presLayoutVars>
          <dgm:hierBranch val="init"/>
        </dgm:presLayoutVars>
      </dgm:prSet>
      <dgm:spPr/>
    </dgm:pt>
    <dgm:pt modelId="{0A527AA5-A990-8944-BB6D-CE20510AD298}" type="pres">
      <dgm:prSet presAssocID="{96CF7743-258D-F54B-BB40-80A127CAEE57}" presName="rootComposite" presStyleCnt="0"/>
      <dgm:spPr/>
    </dgm:pt>
    <dgm:pt modelId="{CE75DD1E-462F-1F49-89A8-9190B9081F34}" type="pres">
      <dgm:prSet presAssocID="{96CF7743-258D-F54B-BB40-80A127CAEE57}" presName="rootText" presStyleLbl="node2" presStyleIdx="2" presStyleCnt="3">
        <dgm:presLayoutVars>
          <dgm:chPref val="3"/>
        </dgm:presLayoutVars>
      </dgm:prSet>
      <dgm:spPr/>
      <dgm:t>
        <a:bodyPr/>
        <a:lstStyle/>
        <a:p>
          <a:endParaRPr lang="en-US"/>
        </a:p>
      </dgm:t>
    </dgm:pt>
    <dgm:pt modelId="{5B56FC47-AA6C-6047-B08E-1247550431EF}" type="pres">
      <dgm:prSet presAssocID="{96CF7743-258D-F54B-BB40-80A127CAEE57}" presName="rootConnector" presStyleLbl="node2" presStyleIdx="2" presStyleCnt="3"/>
      <dgm:spPr/>
      <dgm:t>
        <a:bodyPr/>
        <a:lstStyle/>
        <a:p>
          <a:endParaRPr lang="en-US"/>
        </a:p>
      </dgm:t>
    </dgm:pt>
    <dgm:pt modelId="{166B3847-2FE0-7243-B4DE-3399415D3F61}" type="pres">
      <dgm:prSet presAssocID="{96CF7743-258D-F54B-BB40-80A127CAEE57}" presName="hierChild4" presStyleCnt="0"/>
      <dgm:spPr/>
    </dgm:pt>
    <dgm:pt modelId="{33CF1527-84EC-3942-962F-478C3F0CE1CF}" type="pres">
      <dgm:prSet presAssocID="{96CF7743-258D-F54B-BB40-80A127CAEE57}" presName="hierChild5" presStyleCnt="0"/>
      <dgm:spPr/>
    </dgm:pt>
    <dgm:pt modelId="{1D07A534-9E69-384A-A0D4-D7E6A6B721EE}" type="pres">
      <dgm:prSet presAssocID="{A520E269-64DD-F34E-8A0D-D9B46A31F6EC}" presName="hierChild3" presStyleCnt="0"/>
      <dgm:spPr/>
    </dgm:pt>
  </dgm:ptLst>
  <dgm:cxnLst>
    <dgm:cxn modelId="{F6DDCAA8-B154-42EE-9378-0FAE6DC15989}" type="presOf" srcId="{65BF6316-6E9B-EF4B-A5BB-2A06F8A4A6E1}" destId="{1A35CC49-DC03-6B43-8648-28F0791CF2D3}" srcOrd="0" destOrd="0" presId="urn:microsoft.com/office/officeart/2005/8/layout/orgChart1"/>
    <dgm:cxn modelId="{30FD80D3-3BEE-45CA-BE0D-E88F2DB60542}" type="presOf" srcId="{96CF7743-258D-F54B-BB40-80A127CAEE57}" destId="{5B56FC47-AA6C-6047-B08E-1247550431EF}" srcOrd="1" destOrd="0" presId="urn:microsoft.com/office/officeart/2005/8/layout/orgChart1"/>
    <dgm:cxn modelId="{490218A6-B5C2-46AC-B5E8-C0D5CF4F2248}" type="presOf" srcId="{24B98CE9-0DE7-264E-AD9C-BDA0872046D1}" destId="{F4C52A66-18AF-CD42-9F72-934670FBD024}" srcOrd="0" destOrd="0" presId="urn:microsoft.com/office/officeart/2005/8/layout/orgChart1"/>
    <dgm:cxn modelId="{6BA7387A-60FA-4D18-ACF6-ABDB60ADD34C}" type="presOf" srcId="{96CF7743-258D-F54B-BB40-80A127CAEE57}" destId="{CE75DD1E-462F-1F49-89A8-9190B9081F34}" srcOrd="0" destOrd="0" presId="urn:microsoft.com/office/officeart/2005/8/layout/orgChart1"/>
    <dgm:cxn modelId="{A61633DE-FD18-9D4B-B8C0-629B9723706D}" srcId="{A520E269-64DD-F34E-8A0D-D9B46A31F6EC}" destId="{96CF7743-258D-F54B-BB40-80A127CAEE57}" srcOrd="2" destOrd="0" parTransId="{B7A6B89C-AF26-7C4C-BB89-BD3AD87B1BB2}" sibTransId="{6331BFA9-19CC-984C-A623-F83E95EBF516}"/>
    <dgm:cxn modelId="{B94BF832-2976-45D2-BD39-9AA83781C866}" type="presOf" srcId="{B7A6B89C-AF26-7C4C-BB89-BD3AD87B1BB2}" destId="{64806FE3-A406-0C43-B467-07180EC49B0A}" srcOrd="0" destOrd="0" presId="urn:microsoft.com/office/officeart/2005/8/layout/orgChart1"/>
    <dgm:cxn modelId="{EA97FCF3-A34F-4680-A7C1-14F64C1CC950}" type="presOf" srcId="{EB9F68B6-06A0-BD4B-A69B-C7C382FA6A6B}" destId="{AC5154E9-7F58-6046-B5A0-256E9877D8A0}" srcOrd="0" destOrd="0" presId="urn:microsoft.com/office/officeart/2005/8/layout/orgChart1"/>
    <dgm:cxn modelId="{5B5D678A-DAFF-4E7C-A19E-345556BA6910}" type="presOf" srcId="{8B1BCB81-C8DD-DD4B-8C6E-EFB0623A26B2}" destId="{2D2481ED-B562-1A4D-8A33-D97D0AD884EF}" srcOrd="0" destOrd="0" presId="urn:microsoft.com/office/officeart/2005/8/layout/orgChart1"/>
    <dgm:cxn modelId="{7126AC20-55BD-4C26-AFE5-E0C6652C878A}" type="presOf" srcId="{65BF6316-6E9B-EF4B-A5BB-2A06F8A4A6E1}" destId="{B4287B65-92A3-CB43-82DF-6DECDDE87FAA}" srcOrd="1" destOrd="0" presId="urn:microsoft.com/office/officeart/2005/8/layout/orgChart1"/>
    <dgm:cxn modelId="{48ED14BA-E870-4704-9948-A9B2E3B344AD}" type="presOf" srcId="{A520E269-64DD-F34E-8A0D-D9B46A31F6EC}" destId="{4D9DE633-4A2B-304F-A3EC-D0F7CFEF27A9}" srcOrd="1" destOrd="0" presId="urn:microsoft.com/office/officeart/2005/8/layout/orgChart1"/>
    <dgm:cxn modelId="{105D663D-66BA-534B-94D9-E6BE4C50F91F}" srcId="{EB9F68B6-06A0-BD4B-A69B-C7C382FA6A6B}" destId="{A520E269-64DD-F34E-8A0D-D9B46A31F6EC}" srcOrd="0" destOrd="0" parTransId="{F7FCF888-9798-7740-8D09-FDE984174619}" sibTransId="{9AAB9B30-014D-2E43-9035-5E9B48AA1FE6}"/>
    <dgm:cxn modelId="{CC147922-5BFB-4008-8ACA-F67F94F25884}" type="presOf" srcId="{8B1BCB81-C8DD-DD4B-8C6E-EFB0623A26B2}" destId="{4F3C723C-20CC-4241-B251-54456010008C}" srcOrd="1" destOrd="0" presId="urn:microsoft.com/office/officeart/2005/8/layout/orgChart1"/>
    <dgm:cxn modelId="{6D2DA5DF-9FAE-EB4A-8D43-95E2709AFDAC}" srcId="{A520E269-64DD-F34E-8A0D-D9B46A31F6EC}" destId="{65BF6316-6E9B-EF4B-A5BB-2A06F8A4A6E1}" srcOrd="0" destOrd="0" parTransId="{65F54D99-6D41-DA48-AD76-0EC43A634D6B}" sibTransId="{89E8E20B-447F-1D4E-8BBB-0C4DF40C9863}"/>
    <dgm:cxn modelId="{BA0D467C-6928-4824-8C29-EB402204A014}" type="presOf" srcId="{65F54D99-6D41-DA48-AD76-0EC43A634D6B}" destId="{DF7D0FFC-7467-1649-90F2-12C3489B563C}" srcOrd="0" destOrd="0" presId="urn:microsoft.com/office/officeart/2005/8/layout/orgChart1"/>
    <dgm:cxn modelId="{2053B67F-93D8-4934-9E49-C80A7667A6C8}" type="presOf" srcId="{A520E269-64DD-F34E-8A0D-D9B46A31F6EC}" destId="{CE1052D0-76DC-0F40-80B5-C50F0844895D}" srcOrd="0" destOrd="0" presId="urn:microsoft.com/office/officeart/2005/8/layout/orgChart1"/>
    <dgm:cxn modelId="{C61A5F21-0069-FE42-A636-BB9E2AFECA5D}" srcId="{A520E269-64DD-F34E-8A0D-D9B46A31F6EC}" destId="{8B1BCB81-C8DD-DD4B-8C6E-EFB0623A26B2}" srcOrd="1" destOrd="0" parTransId="{24B98CE9-0DE7-264E-AD9C-BDA0872046D1}" sibTransId="{1B48E400-003C-A74D-80DD-A5EAC51E896C}"/>
    <dgm:cxn modelId="{9D608A3E-255F-4B81-8231-870D2E8B24B6}" type="presParOf" srcId="{AC5154E9-7F58-6046-B5A0-256E9877D8A0}" destId="{0331A1E2-250E-EF4B-B71D-4E40A0D28F3F}" srcOrd="0" destOrd="0" presId="urn:microsoft.com/office/officeart/2005/8/layout/orgChart1"/>
    <dgm:cxn modelId="{97DFC65A-BEB3-45B1-99C4-1462A6C7061C}" type="presParOf" srcId="{0331A1E2-250E-EF4B-B71D-4E40A0D28F3F}" destId="{BC7C7792-C5B7-D346-81F4-75E85A9E27D9}" srcOrd="0" destOrd="0" presId="urn:microsoft.com/office/officeart/2005/8/layout/orgChart1"/>
    <dgm:cxn modelId="{A96DB7A8-9B46-46A5-A303-83DCE76FB4EB}" type="presParOf" srcId="{BC7C7792-C5B7-D346-81F4-75E85A9E27D9}" destId="{CE1052D0-76DC-0F40-80B5-C50F0844895D}" srcOrd="0" destOrd="0" presId="urn:microsoft.com/office/officeart/2005/8/layout/orgChart1"/>
    <dgm:cxn modelId="{B1FCFF41-F353-4A20-B4B5-A153EB07ECA9}" type="presParOf" srcId="{BC7C7792-C5B7-D346-81F4-75E85A9E27D9}" destId="{4D9DE633-4A2B-304F-A3EC-D0F7CFEF27A9}" srcOrd="1" destOrd="0" presId="urn:microsoft.com/office/officeart/2005/8/layout/orgChart1"/>
    <dgm:cxn modelId="{3613E77C-1D08-4C51-9056-1054AC59FB4D}" type="presParOf" srcId="{0331A1E2-250E-EF4B-B71D-4E40A0D28F3F}" destId="{B8A9674D-6FAC-1E4F-AE97-F2A9B7275024}" srcOrd="1" destOrd="0" presId="urn:microsoft.com/office/officeart/2005/8/layout/orgChart1"/>
    <dgm:cxn modelId="{22588469-8DFA-4C67-A7E1-5E87EE3E4986}" type="presParOf" srcId="{B8A9674D-6FAC-1E4F-AE97-F2A9B7275024}" destId="{DF7D0FFC-7467-1649-90F2-12C3489B563C}" srcOrd="0" destOrd="0" presId="urn:microsoft.com/office/officeart/2005/8/layout/orgChart1"/>
    <dgm:cxn modelId="{756E281E-CAFC-4B9A-B9C1-812C124F5469}" type="presParOf" srcId="{B8A9674D-6FAC-1E4F-AE97-F2A9B7275024}" destId="{FAFC7CD1-D8D6-C146-99A2-B328CBBF0C3B}" srcOrd="1" destOrd="0" presId="urn:microsoft.com/office/officeart/2005/8/layout/orgChart1"/>
    <dgm:cxn modelId="{DF726FC7-6650-4597-8F4E-0DFFBEF355A7}" type="presParOf" srcId="{FAFC7CD1-D8D6-C146-99A2-B328CBBF0C3B}" destId="{28AA1407-4944-364A-BD48-6E07839AB2B0}" srcOrd="0" destOrd="0" presId="urn:microsoft.com/office/officeart/2005/8/layout/orgChart1"/>
    <dgm:cxn modelId="{A10B39E3-34AE-423E-9745-54B83C19B180}" type="presParOf" srcId="{28AA1407-4944-364A-BD48-6E07839AB2B0}" destId="{1A35CC49-DC03-6B43-8648-28F0791CF2D3}" srcOrd="0" destOrd="0" presId="urn:microsoft.com/office/officeart/2005/8/layout/orgChart1"/>
    <dgm:cxn modelId="{01F3C523-66DF-4D7E-B887-80EC7CFC4115}" type="presParOf" srcId="{28AA1407-4944-364A-BD48-6E07839AB2B0}" destId="{B4287B65-92A3-CB43-82DF-6DECDDE87FAA}" srcOrd="1" destOrd="0" presId="urn:microsoft.com/office/officeart/2005/8/layout/orgChart1"/>
    <dgm:cxn modelId="{A4F22A7F-E236-4B81-8E20-6A98B3079BCD}" type="presParOf" srcId="{FAFC7CD1-D8D6-C146-99A2-B328CBBF0C3B}" destId="{A9ABCF9A-43B0-524A-A7EF-20B3DE665416}" srcOrd="1" destOrd="0" presId="urn:microsoft.com/office/officeart/2005/8/layout/orgChart1"/>
    <dgm:cxn modelId="{475A9B05-9323-40D3-A8D8-5B38D2F88DA2}" type="presParOf" srcId="{FAFC7CD1-D8D6-C146-99A2-B328CBBF0C3B}" destId="{7886DAA6-CC4C-D640-ADE2-67832C799649}" srcOrd="2" destOrd="0" presId="urn:microsoft.com/office/officeart/2005/8/layout/orgChart1"/>
    <dgm:cxn modelId="{D2B82AFA-456B-474A-965E-C08A12DE0045}" type="presParOf" srcId="{B8A9674D-6FAC-1E4F-AE97-F2A9B7275024}" destId="{F4C52A66-18AF-CD42-9F72-934670FBD024}" srcOrd="2" destOrd="0" presId="urn:microsoft.com/office/officeart/2005/8/layout/orgChart1"/>
    <dgm:cxn modelId="{38648C5D-6407-426B-8D8F-77ADFA3FEDA4}" type="presParOf" srcId="{B8A9674D-6FAC-1E4F-AE97-F2A9B7275024}" destId="{EE453D7B-F6CA-854A-B734-2F89CFE17862}" srcOrd="3" destOrd="0" presId="urn:microsoft.com/office/officeart/2005/8/layout/orgChart1"/>
    <dgm:cxn modelId="{618BC589-E1A5-4FF6-8181-654F4A6FD4E8}" type="presParOf" srcId="{EE453D7B-F6CA-854A-B734-2F89CFE17862}" destId="{ED758CD7-F278-8240-9842-BD2975F6FB07}" srcOrd="0" destOrd="0" presId="urn:microsoft.com/office/officeart/2005/8/layout/orgChart1"/>
    <dgm:cxn modelId="{7C6BD538-7A40-49DF-85B3-2EFC1F62DA49}" type="presParOf" srcId="{ED758CD7-F278-8240-9842-BD2975F6FB07}" destId="{2D2481ED-B562-1A4D-8A33-D97D0AD884EF}" srcOrd="0" destOrd="0" presId="urn:microsoft.com/office/officeart/2005/8/layout/orgChart1"/>
    <dgm:cxn modelId="{5715CAB2-AFC8-44BA-88FE-5B8143F0EF72}" type="presParOf" srcId="{ED758CD7-F278-8240-9842-BD2975F6FB07}" destId="{4F3C723C-20CC-4241-B251-54456010008C}" srcOrd="1" destOrd="0" presId="urn:microsoft.com/office/officeart/2005/8/layout/orgChart1"/>
    <dgm:cxn modelId="{23151038-7952-4A61-8B2B-AEA2DCC55C68}" type="presParOf" srcId="{EE453D7B-F6CA-854A-B734-2F89CFE17862}" destId="{8AF947C6-8B59-774A-8CD5-F83E8F52507F}" srcOrd="1" destOrd="0" presId="urn:microsoft.com/office/officeart/2005/8/layout/orgChart1"/>
    <dgm:cxn modelId="{0312E0AA-8C02-4115-92A3-B759B03FEB07}" type="presParOf" srcId="{EE453D7B-F6CA-854A-B734-2F89CFE17862}" destId="{756FE354-09E7-E841-9DDB-EC18647A406A}" srcOrd="2" destOrd="0" presId="urn:microsoft.com/office/officeart/2005/8/layout/orgChart1"/>
    <dgm:cxn modelId="{F7E0A2AD-1166-4841-8EBD-705F3ACF4735}" type="presParOf" srcId="{B8A9674D-6FAC-1E4F-AE97-F2A9B7275024}" destId="{64806FE3-A406-0C43-B467-07180EC49B0A}" srcOrd="4" destOrd="0" presId="urn:microsoft.com/office/officeart/2005/8/layout/orgChart1"/>
    <dgm:cxn modelId="{1BA7885B-AE35-41E7-844C-F81CD4761A09}" type="presParOf" srcId="{B8A9674D-6FAC-1E4F-AE97-F2A9B7275024}" destId="{A3CC7C37-2003-694B-86DD-13CC14C4E5D9}" srcOrd="5" destOrd="0" presId="urn:microsoft.com/office/officeart/2005/8/layout/orgChart1"/>
    <dgm:cxn modelId="{FF7A42CB-9FF4-4DCF-A5F3-B215611B981D}" type="presParOf" srcId="{A3CC7C37-2003-694B-86DD-13CC14C4E5D9}" destId="{0A527AA5-A990-8944-BB6D-CE20510AD298}" srcOrd="0" destOrd="0" presId="urn:microsoft.com/office/officeart/2005/8/layout/orgChart1"/>
    <dgm:cxn modelId="{E70FE52E-C665-47F3-8817-BF700D2347FA}" type="presParOf" srcId="{0A527AA5-A990-8944-BB6D-CE20510AD298}" destId="{CE75DD1E-462F-1F49-89A8-9190B9081F34}" srcOrd="0" destOrd="0" presId="urn:microsoft.com/office/officeart/2005/8/layout/orgChart1"/>
    <dgm:cxn modelId="{F42D8C24-FA2E-44CC-A485-0372CADD2129}" type="presParOf" srcId="{0A527AA5-A990-8944-BB6D-CE20510AD298}" destId="{5B56FC47-AA6C-6047-B08E-1247550431EF}" srcOrd="1" destOrd="0" presId="urn:microsoft.com/office/officeart/2005/8/layout/orgChart1"/>
    <dgm:cxn modelId="{5C894487-409D-4D5E-A371-A56B90F2210B}" type="presParOf" srcId="{A3CC7C37-2003-694B-86DD-13CC14C4E5D9}" destId="{166B3847-2FE0-7243-B4DE-3399415D3F61}" srcOrd="1" destOrd="0" presId="urn:microsoft.com/office/officeart/2005/8/layout/orgChart1"/>
    <dgm:cxn modelId="{593DA251-5971-426E-AA0D-31D5F694D506}" type="presParOf" srcId="{A3CC7C37-2003-694B-86DD-13CC14C4E5D9}" destId="{33CF1527-84EC-3942-962F-478C3F0CE1CF}" srcOrd="2" destOrd="0" presId="urn:microsoft.com/office/officeart/2005/8/layout/orgChart1"/>
    <dgm:cxn modelId="{DD4669F8-730E-443E-BB67-5EF1CCCC9775}" type="presParOf" srcId="{0331A1E2-250E-EF4B-B71D-4E40A0D28F3F}" destId="{1D07A534-9E69-384A-A0D4-D7E6A6B721EE}"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806FE3-A406-0C43-B467-07180EC49B0A}">
      <dsp:nvSpPr>
        <dsp:cNvPr id="0" name=""/>
        <dsp:cNvSpPr/>
      </dsp:nvSpPr>
      <dsp:spPr>
        <a:xfrm>
          <a:off x="2743200" y="1322243"/>
          <a:ext cx="1940834" cy="336838"/>
        </a:xfrm>
        <a:custGeom>
          <a:avLst/>
          <a:gdLst/>
          <a:ahLst/>
          <a:cxnLst/>
          <a:rect l="0" t="0" r="0" b="0"/>
          <a:pathLst>
            <a:path>
              <a:moveTo>
                <a:pt x="0" y="0"/>
              </a:moveTo>
              <a:lnTo>
                <a:pt x="0" y="168419"/>
              </a:lnTo>
              <a:lnTo>
                <a:pt x="1940834" y="168419"/>
              </a:lnTo>
              <a:lnTo>
                <a:pt x="1940834"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C52A66-18AF-CD42-9F72-934670FBD024}">
      <dsp:nvSpPr>
        <dsp:cNvPr id="0" name=""/>
        <dsp:cNvSpPr/>
      </dsp:nvSpPr>
      <dsp:spPr>
        <a:xfrm>
          <a:off x="2697479" y="1322243"/>
          <a:ext cx="91440" cy="336838"/>
        </a:xfrm>
        <a:custGeom>
          <a:avLst/>
          <a:gdLst/>
          <a:ahLst/>
          <a:cxnLst/>
          <a:rect l="0" t="0" r="0" b="0"/>
          <a:pathLst>
            <a:path>
              <a:moveTo>
                <a:pt x="45720" y="0"/>
              </a:moveTo>
              <a:lnTo>
                <a:pt x="4572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7D0FFC-7467-1649-90F2-12C3489B563C}">
      <dsp:nvSpPr>
        <dsp:cNvPr id="0" name=""/>
        <dsp:cNvSpPr/>
      </dsp:nvSpPr>
      <dsp:spPr>
        <a:xfrm>
          <a:off x="802365" y="1322243"/>
          <a:ext cx="1940834" cy="336838"/>
        </a:xfrm>
        <a:custGeom>
          <a:avLst/>
          <a:gdLst/>
          <a:ahLst/>
          <a:cxnLst/>
          <a:rect l="0" t="0" r="0" b="0"/>
          <a:pathLst>
            <a:path>
              <a:moveTo>
                <a:pt x="1940834" y="0"/>
              </a:moveTo>
              <a:lnTo>
                <a:pt x="1940834" y="168419"/>
              </a:lnTo>
              <a:lnTo>
                <a:pt x="0" y="168419"/>
              </a:lnTo>
              <a:lnTo>
                <a:pt x="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1052D0-76DC-0F40-80B5-C50F0844895D}">
      <dsp:nvSpPr>
        <dsp:cNvPr id="0" name=""/>
        <dsp:cNvSpPr/>
      </dsp:nvSpPr>
      <dsp:spPr>
        <a:xfrm>
          <a:off x="1941202" y="520245"/>
          <a:ext cx="1603995" cy="80199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Strategic Planning Steering Committee</a:t>
          </a:r>
        </a:p>
      </dsp:txBody>
      <dsp:txXfrm>
        <a:off x="1941202" y="520245"/>
        <a:ext cx="1603995" cy="801997"/>
      </dsp:txXfrm>
    </dsp:sp>
    <dsp:sp modelId="{1A35CC49-DC03-6B43-8648-28F0791CF2D3}">
      <dsp:nvSpPr>
        <dsp:cNvPr id="0" name=""/>
        <dsp:cNvSpPr/>
      </dsp:nvSpPr>
      <dsp:spPr>
        <a:xfrm>
          <a:off x="368" y="1659081"/>
          <a:ext cx="1603995" cy="80199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Increasing Student Success and Academic Excellence</a:t>
          </a:r>
        </a:p>
      </dsp:txBody>
      <dsp:txXfrm>
        <a:off x="368" y="1659081"/>
        <a:ext cx="1603995" cy="801997"/>
      </dsp:txXfrm>
    </dsp:sp>
    <dsp:sp modelId="{2D2481ED-B562-1A4D-8A33-D97D0AD884EF}">
      <dsp:nvSpPr>
        <dsp:cNvPr id="0" name=""/>
        <dsp:cNvSpPr/>
      </dsp:nvSpPr>
      <dsp:spPr>
        <a:xfrm>
          <a:off x="1941202" y="1659081"/>
          <a:ext cx="1603995" cy="80199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Ensuring Resources to Fulfill the University's Mission </a:t>
          </a:r>
        </a:p>
      </dsp:txBody>
      <dsp:txXfrm>
        <a:off x="1941202" y="1659081"/>
        <a:ext cx="1603995" cy="801997"/>
      </dsp:txXfrm>
    </dsp:sp>
    <dsp:sp modelId="{CE75DD1E-462F-1F49-89A8-9190B9081F34}">
      <dsp:nvSpPr>
        <dsp:cNvPr id="0" name=""/>
        <dsp:cNvSpPr/>
      </dsp:nvSpPr>
      <dsp:spPr>
        <a:xfrm>
          <a:off x="3882036" y="1659081"/>
          <a:ext cx="1603995" cy="80199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Supporting an Inclusive and Diverse Community</a:t>
          </a:r>
        </a:p>
      </dsp:txBody>
      <dsp:txXfrm>
        <a:off x="3882036" y="1659081"/>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B2D22-AE86-4FF2-B9EC-21D00071A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1944</Words>
  <Characters>11085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Humboldt State University</Company>
  <LinksUpToDate>false</LinksUpToDate>
  <CharactersWithSpaces>13003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Rossbacher</dc:creator>
  <cp:keywords/>
  <dc:description/>
  <cp:lastModifiedBy>Kay Libolt</cp:lastModifiedBy>
  <cp:revision>4</cp:revision>
  <cp:lastPrinted>2014-10-13T17:02:00Z</cp:lastPrinted>
  <dcterms:created xsi:type="dcterms:W3CDTF">2014-10-29T18:17:00Z</dcterms:created>
  <dcterms:modified xsi:type="dcterms:W3CDTF">2014-10-29T18:24:00Z</dcterms:modified>
</cp:coreProperties>
</file>